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FCFE7">
      <w:pPr>
        <w:jc w:val="center"/>
        <w:rPr>
          <w:rFonts w:hint="eastAsia" w:ascii="宋体" w:hAnsi="宋体"/>
          <w:b/>
          <w:color w:val="auto"/>
          <w:sz w:val="72"/>
          <w:highlight w:val="none"/>
        </w:rPr>
      </w:pPr>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14:paraId="0E556B36">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14:paraId="2574138E">
      <w:pPr>
        <w:spacing w:line="360" w:lineRule="auto"/>
        <w:jc w:val="center"/>
        <w:rPr>
          <w:rFonts w:hint="eastAsia" w:ascii="宋体" w:hAnsi="宋体"/>
          <w:b/>
          <w:color w:val="auto"/>
          <w:sz w:val="72"/>
          <w:highlight w:val="none"/>
        </w:rPr>
      </w:pPr>
      <w:r>
        <w:rPr>
          <w:rFonts w:hint="eastAsia" w:ascii="宋体" w:hAnsi="宋体"/>
          <w:b/>
          <w:color w:val="auto"/>
          <w:sz w:val="72"/>
          <w:highlight w:val="none"/>
        </w:rPr>
        <w:t xml:space="preserve">招   </w:t>
      </w:r>
      <w:bookmarkStart w:id="7" w:name="_GoBack"/>
      <w:bookmarkEnd w:id="7"/>
      <w:r>
        <w:rPr>
          <w:rFonts w:hint="eastAsia" w:ascii="宋体" w:hAnsi="宋体"/>
          <w:b/>
          <w:color w:val="auto"/>
          <w:sz w:val="72"/>
          <w:highlight w:val="none"/>
        </w:rPr>
        <w:t>标   文   件</w:t>
      </w:r>
    </w:p>
    <w:p w14:paraId="3104FC95">
      <w:pPr>
        <w:spacing w:line="360" w:lineRule="auto"/>
        <w:ind w:firstLine="1438" w:firstLineChars="398"/>
        <w:rPr>
          <w:rFonts w:hint="eastAsia" w:ascii="宋体" w:hAnsi="宋体"/>
          <w:b/>
          <w:color w:val="auto"/>
          <w:sz w:val="36"/>
          <w:highlight w:val="none"/>
        </w:rPr>
      </w:pPr>
    </w:p>
    <w:p w14:paraId="298EF9AC">
      <w:pPr>
        <w:spacing w:line="360" w:lineRule="auto"/>
        <w:ind w:firstLine="1438" w:firstLineChars="398"/>
        <w:rPr>
          <w:rFonts w:hint="eastAsia" w:ascii="宋体" w:hAnsi="宋体"/>
          <w:b/>
          <w:color w:val="auto"/>
          <w:sz w:val="36"/>
          <w:highlight w:val="none"/>
        </w:rPr>
      </w:pPr>
    </w:p>
    <w:p w14:paraId="703C738F">
      <w:pPr>
        <w:spacing w:line="360" w:lineRule="auto"/>
        <w:ind w:firstLine="1438" w:firstLineChars="398"/>
        <w:rPr>
          <w:rFonts w:hint="eastAsia" w:ascii="宋体" w:hAnsi="宋体"/>
          <w:b/>
          <w:color w:val="auto"/>
          <w:sz w:val="36"/>
          <w:highlight w:val="none"/>
        </w:rPr>
      </w:pPr>
    </w:p>
    <w:p w14:paraId="3F9119B0">
      <w:pPr>
        <w:spacing w:line="360" w:lineRule="auto"/>
        <w:ind w:firstLine="1438" w:firstLineChars="398"/>
        <w:rPr>
          <w:rFonts w:hint="eastAsia" w:ascii="宋体" w:hAnsi="宋体"/>
          <w:b/>
          <w:color w:val="auto"/>
          <w:sz w:val="36"/>
          <w:highlight w:val="none"/>
        </w:rPr>
      </w:pPr>
    </w:p>
    <w:p w14:paraId="68CB4924">
      <w:pPr>
        <w:spacing w:line="360" w:lineRule="auto"/>
        <w:ind w:firstLine="1438" w:firstLineChars="398"/>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招 标 编 号：</w:t>
      </w:r>
      <w:r>
        <w:rPr>
          <w:rFonts w:hint="eastAsia" w:ascii="宋体" w:hAnsi="宋体"/>
          <w:b/>
          <w:color w:val="auto"/>
          <w:sz w:val="36"/>
          <w:highlight w:val="none"/>
          <w:u w:val="single"/>
          <w:lang w:eastAsia="zh-CN"/>
        </w:rPr>
        <w:t>XM2026</w:t>
      </w:r>
      <w:r>
        <w:rPr>
          <w:rFonts w:hint="eastAsia" w:ascii="宋体" w:hAnsi="宋体"/>
          <w:b/>
          <w:color w:val="auto"/>
          <w:sz w:val="36"/>
          <w:highlight w:val="none"/>
          <w:u w:val="single"/>
        </w:rPr>
        <w:t>-DZ</w:t>
      </w:r>
      <w:r>
        <w:rPr>
          <w:rFonts w:hint="eastAsia" w:ascii="宋体" w:hAnsi="宋体"/>
          <w:b/>
          <w:color w:val="auto"/>
          <w:sz w:val="36"/>
          <w:highlight w:val="none"/>
          <w:u w:val="single"/>
          <w:lang w:val="en-US" w:eastAsia="zh-CN"/>
        </w:rPr>
        <w:t>0031</w:t>
      </w:r>
    </w:p>
    <w:p w14:paraId="0E467483">
      <w:pPr>
        <w:spacing w:line="360" w:lineRule="auto"/>
        <w:ind w:left="3948" w:leftChars="684" w:hanging="2512" w:hangingChars="695"/>
        <w:rPr>
          <w:rFonts w:hint="eastAsia" w:ascii="宋体" w:hAnsi="宋体" w:eastAsia="宋体"/>
          <w:b/>
          <w:color w:val="auto"/>
          <w:sz w:val="36"/>
          <w:highlight w:val="none"/>
          <w:u w:val="single"/>
          <w:lang w:val="en-US" w:eastAsia="zh-CN"/>
        </w:rPr>
      </w:pPr>
      <w:r>
        <w:rPr>
          <w:rFonts w:hint="eastAsia" w:ascii="宋体" w:hAnsi="宋体"/>
          <w:b/>
          <w:color w:val="auto"/>
          <w:sz w:val="36"/>
          <w:highlight w:val="none"/>
        </w:rPr>
        <w:t>项 目 名 称：</w:t>
      </w:r>
      <w:r>
        <w:rPr>
          <w:rFonts w:hint="eastAsia" w:ascii="宋体" w:hAnsi="宋体"/>
          <w:b/>
          <w:color w:val="auto"/>
          <w:sz w:val="36"/>
          <w:highlight w:val="none"/>
          <w:lang w:val="en-US" w:eastAsia="zh-CN"/>
        </w:rPr>
        <w:t>其他家具（集美中学侨英校区女生宿舍家具更换</w:t>
      </w:r>
      <w:r>
        <w:rPr>
          <w:rFonts w:hint="default" w:ascii="宋体" w:hAnsi="宋体"/>
          <w:b/>
          <w:color w:val="auto"/>
          <w:sz w:val="36"/>
          <w:highlight w:val="none"/>
          <w:lang w:eastAsia="zh-CN"/>
        </w:rPr>
        <w:t>采购</w:t>
      </w:r>
      <w:r>
        <w:rPr>
          <w:rFonts w:hint="eastAsia" w:ascii="宋体" w:hAnsi="宋体"/>
          <w:b/>
          <w:color w:val="auto"/>
          <w:sz w:val="36"/>
          <w:highlight w:val="none"/>
          <w:lang w:val="en-US" w:eastAsia="zh-CN"/>
        </w:rPr>
        <w:t>）</w:t>
      </w:r>
    </w:p>
    <w:p w14:paraId="365EB170">
      <w:pPr>
        <w:spacing w:line="360" w:lineRule="auto"/>
        <w:ind w:firstLine="1438" w:firstLineChars="398"/>
        <w:rPr>
          <w:rFonts w:hint="eastAsia" w:ascii="宋体" w:hAnsi="宋体"/>
          <w:b/>
          <w:color w:val="auto"/>
          <w:sz w:val="36"/>
          <w:highlight w:val="none"/>
        </w:rPr>
      </w:pPr>
    </w:p>
    <w:p w14:paraId="7FB9E583">
      <w:pPr>
        <w:spacing w:line="360" w:lineRule="auto"/>
        <w:ind w:firstLine="1438" w:firstLineChars="398"/>
        <w:rPr>
          <w:rFonts w:hint="eastAsia" w:ascii="宋体" w:hAnsi="宋体"/>
          <w:b/>
          <w:color w:val="auto"/>
          <w:sz w:val="36"/>
          <w:highlight w:val="none"/>
        </w:rPr>
      </w:pPr>
    </w:p>
    <w:p w14:paraId="15502072">
      <w:pPr>
        <w:spacing w:line="360" w:lineRule="auto"/>
        <w:ind w:firstLine="1438" w:firstLineChars="398"/>
        <w:rPr>
          <w:rFonts w:hint="eastAsia" w:ascii="宋体" w:hAnsi="宋体"/>
          <w:b/>
          <w:color w:val="auto"/>
          <w:sz w:val="36"/>
          <w:highlight w:val="none"/>
        </w:rPr>
      </w:pPr>
    </w:p>
    <w:p w14:paraId="1078454D">
      <w:pPr>
        <w:spacing w:line="360" w:lineRule="auto"/>
        <w:ind w:firstLine="1438" w:firstLineChars="398"/>
        <w:rPr>
          <w:rFonts w:hint="eastAsia" w:ascii="宋体" w:hAnsi="宋体"/>
          <w:b/>
          <w:color w:val="auto"/>
          <w:sz w:val="36"/>
          <w:highlight w:val="none"/>
        </w:rPr>
      </w:pPr>
    </w:p>
    <w:p w14:paraId="112DFF4A">
      <w:pPr>
        <w:spacing w:line="360" w:lineRule="auto"/>
        <w:ind w:firstLine="1438" w:firstLineChars="398"/>
        <w:rPr>
          <w:rFonts w:hint="eastAsia" w:ascii="宋体" w:hAnsi="宋体"/>
          <w:b/>
          <w:color w:val="auto"/>
          <w:sz w:val="36"/>
          <w:highlight w:val="none"/>
        </w:rPr>
      </w:pPr>
    </w:p>
    <w:p w14:paraId="74E1A0F7">
      <w:pPr>
        <w:pStyle w:val="5"/>
        <w:ind w:firstLine="1445" w:firstLineChars="400"/>
        <w:jc w:val="left"/>
        <w:rPr>
          <w:rFonts w:hint="default" w:hAnsi="宋体" w:eastAsia="宋体" w:cs="宋体"/>
          <w:b/>
          <w:color w:val="auto"/>
          <w:spacing w:val="20"/>
          <w:sz w:val="32"/>
          <w:highlight w:val="none"/>
          <w:lang w:val="en-US" w:eastAsia="zh-CN"/>
        </w:rPr>
      </w:pPr>
      <w:r>
        <w:rPr>
          <w:rFonts w:hint="eastAsia" w:hAnsi="宋体" w:cs="宋体"/>
          <w:b/>
          <w:color w:val="auto"/>
          <w:spacing w:val="20"/>
          <w:sz w:val="32"/>
          <w:highlight w:val="none"/>
        </w:rPr>
        <w:t>使用单位：</w:t>
      </w:r>
      <w:r>
        <w:rPr>
          <w:rFonts w:hint="eastAsia" w:hAnsi="宋体" w:cs="宋体"/>
          <w:b/>
          <w:color w:val="auto"/>
          <w:spacing w:val="20"/>
          <w:sz w:val="32"/>
          <w:highlight w:val="none"/>
          <w:lang w:val="en-US" w:eastAsia="zh-CN"/>
        </w:rPr>
        <w:t>福建省厦门集美中学</w:t>
      </w:r>
    </w:p>
    <w:p w14:paraId="7D94AAC6">
      <w:pPr>
        <w:pStyle w:val="5"/>
        <w:ind w:firstLine="1438" w:firstLineChars="398"/>
        <w:jc w:val="left"/>
        <w:rPr>
          <w:rFonts w:hint="eastAsia"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7CE59679">
      <w:pPr>
        <w:pStyle w:val="5"/>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75040EBC">
      <w:pPr>
        <w:spacing w:line="360" w:lineRule="auto"/>
        <w:ind w:firstLine="1438" w:firstLineChars="398"/>
        <w:rPr>
          <w:rFonts w:hint="eastAsia" w:ascii="宋体" w:hAnsi="宋体"/>
          <w:b/>
          <w:color w:val="auto"/>
          <w:sz w:val="36"/>
          <w:highlight w:val="none"/>
        </w:rPr>
      </w:pPr>
    </w:p>
    <w:p w14:paraId="0EDC3AB7">
      <w:pPr>
        <w:pStyle w:val="5"/>
        <w:spacing w:line="360" w:lineRule="auto"/>
        <w:jc w:val="center"/>
        <w:outlineLvl w:val="0"/>
        <w:rPr>
          <w:rFonts w:hint="eastAsia" w:hAnsi="宋体"/>
          <w:b/>
          <w:color w:val="auto"/>
          <w:sz w:val="32"/>
          <w:highlight w:val="none"/>
        </w:rPr>
      </w:pPr>
      <w:r>
        <w:rPr>
          <w:rFonts w:hint="eastAsia" w:hAnsi="宋体"/>
          <w:b/>
          <w:color w:val="auto"/>
          <w:sz w:val="32"/>
          <w:highlight w:val="none"/>
          <w:lang w:eastAsia="zh-CN"/>
        </w:rPr>
        <w:t>2026</w:t>
      </w:r>
      <w:r>
        <w:rPr>
          <w:rFonts w:hint="eastAsia" w:hAnsi="宋体"/>
          <w:b/>
          <w:color w:val="auto"/>
          <w:sz w:val="32"/>
          <w:highlight w:val="none"/>
        </w:rPr>
        <w:t>年</w:t>
      </w:r>
    </w:p>
    <w:p w14:paraId="68FD6DE8">
      <w:pPr>
        <w:pStyle w:val="5"/>
        <w:spacing w:line="360" w:lineRule="auto"/>
        <w:jc w:val="center"/>
        <w:outlineLvl w:val="0"/>
        <w:rPr>
          <w:rFonts w:hint="eastAsia" w:hAnsi="宋体"/>
          <w:b/>
          <w:color w:val="auto"/>
          <w:sz w:val="32"/>
          <w:highlight w:val="none"/>
        </w:rPr>
      </w:pPr>
    </w:p>
    <w:p w14:paraId="727FC46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14:paraId="3AB87D03">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14:paraId="1C70DCCA">
      <w:pPr>
        <w:rPr>
          <w:rFonts w:hint="eastAsia" w:ascii="宋体" w:hAnsi="宋体" w:eastAsia="宋体" w:cs="宋体"/>
          <w:color w:val="auto"/>
          <w:sz w:val="24"/>
          <w:szCs w:val="24"/>
          <w:highlight w:val="none"/>
        </w:rPr>
      </w:pPr>
    </w:p>
    <w:p w14:paraId="19512B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02880FE7">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14:paraId="5F98F6B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14:paraId="2D32A4D1">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14:paraId="2F58F1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14:paraId="3AF870D7">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14:paraId="47165C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14:paraId="2AB7F78B">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14:paraId="12E2FA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14:paraId="38216A26">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14:paraId="544CBC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（五）厦门银行股份有限公司 </w:t>
      </w:r>
    </w:p>
    <w:p w14:paraId="07C84F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14:paraId="0369932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2839662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14:paraId="4B990A4A">
      <w:pPr>
        <w:spacing w:line="360" w:lineRule="auto"/>
        <w:ind w:firstLine="480" w:firstLineChars="200"/>
        <w:rPr>
          <w:rFonts w:hint="eastAsia" w:ascii="宋体" w:hAnsi="宋体" w:eastAsia="宋体" w:cs="宋体"/>
          <w:color w:val="auto"/>
          <w:sz w:val="24"/>
          <w:szCs w:val="24"/>
          <w:highlight w:val="none"/>
        </w:rPr>
      </w:pPr>
    </w:p>
    <w:p w14:paraId="6A21A7AC">
      <w:pPr>
        <w:spacing w:line="360" w:lineRule="auto"/>
        <w:ind w:firstLine="480" w:firstLineChars="200"/>
        <w:rPr>
          <w:rFonts w:hint="eastAsia" w:ascii="宋体" w:hAnsi="宋体" w:eastAsia="宋体" w:cs="宋体"/>
          <w:color w:val="auto"/>
          <w:sz w:val="24"/>
          <w:szCs w:val="24"/>
          <w:highlight w:val="none"/>
        </w:rPr>
      </w:pPr>
    </w:p>
    <w:p w14:paraId="726CC50F">
      <w:pPr>
        <w:spacing w:line="360" w:lineRule="auto"/>
        <w:ind w:firstLine="480" w:firstLineChars="200"/>
        <w:rPr>
          <w:rFonts w:hint="eastAsia" w:ascii="宋体" w:hAnsi="宋体" w:eastAsia="宋体" w:cs="宋体"/>
          <w:color w:val="auto"/>
          <w:sz w:val="24"/>
          <w:szCs w:val="24"/>
          <w:highlight w:val="none"/>
        </w:rPr>
      </w:pPr>
    </w:p>
    <w:p w14:paraId="47A03034">
      <w:pPr>
        <w:spacing w:line="360" w:lineRule="auto"/>
        <w:ind w:firstLine="480" w:firstLineChars="200"/>
        <w:rPr>
          <w:rFonts w:hint="eastAsia" w:ascii="宋体" w:hAnsi="宋体" w:eastAsia="宋体" w:cs="宋体"/>
          <w:color w:val="auto"/>
          <w:sz w:val="24"/>
          <w:szCs w:val="24"/>
          <w:highlight w:val="none"/>
        </w:rPr>
      </w:pPr>
    </w:p>
    <w:p w14:paraId="46D4EBBC">
      <w:pPr>
        <w:spacing w:line="360" w:lineRule="auto"/>
        <w:ind w:firstLine="0" w:firstLineChars="0"/>
        <w:rPr>
          <w:rFonts w:hint="eastAsia" w:ascii="宋体" w:hAnsi="宋体" w:eastAsia="宋体" w:cs="宋体"/>
          <w:color w:val="auto"/>
          <w:sz w:val="24"/>
          <w:szCs w:val="24"/>
          <w:highlight w:val="none"/>
        </w:rPr>
      </w:pPr>
    </w:p>
    <w:p w14:paraId="6BD2163B">
      <w:pPr>
        <w:pStyle w:val="5"/>
        <w:spacing w:line="360" w:lineRule="auto"/>
        <w:jc w:val="center"/>
        <w:outlineLvl w:val="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 xml:space="preserve">  目   录</w:t>
      </w:r>
    </w:p>
    <w:p w14:paraId="6334377E">
      <w:pPr>
        <w:pStyle w:val="2"/>
        <w:snapToGrid w:val="0"/>
        <w:spacing w:line="360" w:lineRule="auto"/>
        <w:ind w:firstLine="0"/>
        <w:rPr>
          <w:rFonts w:hint="eastAsia" w:ascii="宋体" w:hAnsi="宋体" w:eastAsia="宋体" w:cs="宋体"/>
          <w:color w:val="auto"/>
          <w:sz w:val="24"/>
          <w:szCs w:val="24"/>
          <w:highlight w:val="none"/>
        </w:rPr>
      </w:pPr>
    </w:p>
    <w:p w14:paraId="4DCDC1E2">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14:paraId="3084ECB8">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14:paraId="6FD899CD">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14:paraId="3F7F0334">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14:paraId="61BEBBB4">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14:paraId="741014C5">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14:paraId="658062F1">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14:paraId="1E985C96">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14:paraId="679EBA99">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14:paraId="29829F6F">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14:paraId="3DFEC02E">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 意外情况的处理  ……………………………………  2-2-</w:t>
      </w:r>
      <w:r>
        <w:rPr>
          <w:rFonts w:hint="eastAsia" w:ascii="宋体" w:hAnsi="宋体" w:eastAsia="宋体" w:cs="宋体"/>
          <w:color w:val="auto"/>
          <w:sz w:val="24"/>
          <w:szCs w:val="24"/>
          <w:highlight w:val="none"/>
          <w:lang w:val="en-US" w:eastAsia="zh-CN"/>
        </w:rPr>
        <w:t>15</w:t>
      </w:r>
    </w:p>
    <w:p w14:paraId="313B792D">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14:paraId="1D4AAA0E">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第四章    </w:t>
      </w:r>
      <w:r>
        <w:rPr>
          <w:rFonts w:hint="eastAsia" w:ascii="宋体" w:hAnsi="宋体" w:cs="宋体"/>
          <w:color w:val="auto"/>
          <w:sz w:val="24"/>
          <w:szCs w:val="24"/>
          <w:highlight w:val="none"/>
        </w:rPr>
        <w:t>政府采购货物买卖合同（试行）</w:t>
      </w:r>
      <w:r>
        <w:rPr>
          <w:rFonts w:hint="eastAsia" w:ascii="宋体" w:hAnsi="宋体" w:eastAsia="宋体" w:cs="宋体"/>
          <w:color w:val="auto"/>
          <w:sz w:val="24"/>
          <w:szCs w:val="24"/>
          <w:highlight w:val="none"/>
        </w:rPr>
        <w:t>……………………4-1</w:t>
      </w:r>
    </w:p>
    <w:p w14:paraId="7BC2089A">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14:paraId="2A5127E7">
      <w:pPr>
        <w:pStyle w:val="2"/>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20FDCACC">
      <w:pPr>
        <w:pStyle w:val="16"/>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第一章  投标邀请函</w:t>
      </w:r>
    </w:p>
    <w:p w14:paraId="218186D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rPr>
        <w:t>委托，</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color w:val="auto"/>
          <w:sz w:val="24"/>
          <w:szCs w:val="24"/>
          <w:highlight w:val="none"/>
        </w:rPr>
        <w:t>对【</w:t>
      </w:r>
      <w:r>
        <w:rPr>
          <w:rFonts w:hint="eastAsia" w:ascii="宋体" w:hAnsi="宋体" w:cs="宋体"/>
          <w:b/>
          <w:color w:val="auto"/>
          <w:sz w:val="24"/>
          <w:szCs w:val="24"/>
          <w:highlight w:val="none"/>
          <w:u w:val="single"/>
          <w:lang w:val="en-US" w:eastAsia="zh-CN"/>
        </w:rPr>
        <w:t>其他家具（集美中学侨英校区女生宿舍家具更换</w:t>
      </w:r>
      <w:r>
        <w:rPr>
          <w:rFonts w:hint="default" w:ascii="宋体" w:hAnsi="宋体" w:cs="宋体"/>
          <w:b/>
          <w:color w:val="auto"/>
          <w:sz w:val="24"/>
          <w:szCs w:val="24"/>
          <w:highlight w:val="none"/>
          <w:u w:val="single"/>
          <w:lang w:eastAsia="zh-CN"/>
        </w:rPr>
        <w:t>采购</w:t>
      </w:r>
      <w:r>
        <w:rPr>
          <w:rFonts w:hint="eastAsia" w:ascii="宋体" w:hAnsi="宋体" w:cs="宋体"/>
          <w:b/>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货物</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进行国内公开招标，现欢迎国内合格的投标人前来投标。</w:t>
      </w:r>
    </w:p>
    <w:p w14:paraId="30789CA2">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cs="宋体"/>
          <w:color w:val="auto"/>
          <w:sz w:val="24"/>
          <w:szCs w:val="24"/>
          <w:highlight w:val="none"/>
          <w:u w:val="single"/>
          <w:lang w:eastAsia="zh-CN"/>
        </w:rPr>
        <w:t>XM2026</w:t>
      </w:r>
      <w:r>
        <w:rPr>
          <w:rFonts w:hint="eastAsia" w:ascii="宋体" w:hAnsi="宋体" w:eastAsia="宋体" w:cs="宋体"/>
          <w:color w:val="auto"/>
          <w:sz w:val="24"/>
          <w:szCs w:val="24"/>
          <w:highlight w:val="none"/>
          <w:u w:val="single"/>
        </w:rPr>
        <w:t>-DZ</w:t>
      </w:r>
      <w:r>
        <w:rPr>
          <w:rFonts w:hint="eastAsia" w:ascii="宋体" w:hAnsi="宋体" w:cs="宋体"/>
          <w:color w:val="auto"/>
          <w:sz w:val="24"/>
          <w:szCs w:val="24"/>
          <w:highlight w:val="none"/>
          <w:u w:val="single"/>
          <w:lang w:val="en-US" w:eastAsia="zh-CN"/>
        </w:rPr>
        <w:t>0031</w:t>
      </w:r>
      <w:r>
        <w:rPr>
          <w:rFonts w:hint="eastAsia" w:ascii="宋体" w:hAnsi="宋体" w:eastAsia="宋体" w:cs="宋体"/>
          <w:color w:val="auto"/>
          <w:sz w:val="24"/>
          <w:szCs w:val="24"/>
          <w:highlight w:val="none"/>
          <w:u w:val="single"/>
        </w:rPr>
        <w:t xml:space="preserve"> 。</w:t>
      </w:r>
    </w:p>
    <w:p w14:paraId="206B946B">
      <w:pPr>
        <w:spacing w:line="360" w:lineRule="auto"/>
        <w:ind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0"/>
          <w:sz w:val="24"/>
          <w:szCs w:val="24"/>
          <w:highlight w:val="none"/>
        </w:rPr>
        <w:t>服务）</w:t>
      </w:r>
      <w:r>
        <w:rPr>
          <w:rFonts w:hint="eastAsia" w:ascii="宋体" w:hAnsi="宋体" w:eastAsia="宋体" w:cs="宋体"/>
          <w:color w:val="auto"/>
          <w:sz w:val="24"/>
          <w:szCs w:val="24"/>
          <w:highlight w:val="none"/>
        </w:rPr>
        <w:t>一览表。</w:t>
      </w:r>
    </w:p>
    <w:p w14:paraId="092700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Cs/>
          <w:color w:val="auto"/>
          <w:sz w:val="24"/>
          <w:szCs w:val="24"/>
          <w:highlight w:val="none"/>
          <w:lang w:eastAsia="zh-CN"/>
        </w:rPr>
        <w:t>2026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lang w:val="en-US" w:eastAsia="zh-CN"/>
        </w:rPr>
        <w:t>06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01</w:t>
      </w:r>
      <w:r>
        <w:rPr>
          <w:rFonts w:hint="eastAsia" w:ascii="宋体" w:hAnsi="宋体" w:eastAsia="宋体" w:cs="宋体"/>
          <w:color w:val="auto"/>
          <w:sz w:val="24"/>
          <w:szCs w:val="24"/>
          <w:highlight w:val="none"/>
        </w:rPr>
        <w:t>日至</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08</w:t>
      </w:r>
      <w:r>
        <w:rPr>
          <w:rFonts w:hint="eastAsia" w:ascii="宋体" w:hAnsi="宋体" w:eastAsia="宋体" w:cs="宋体"/>
          <w:color w:val="auto"/>
          <w:sz w:val="24"/>
          <w:szCs w:val="24"/>
          <w:highlight w:val="none"/>
        </w:rPr>
        <w:t>日，有意向的供应商应在厦门招投标网（http:// www.xmztb.com，下同）注册账号，登录后可免费在线浏览招标文件，完成缴费并下载招标文件后方具备投标资格。缴费仅支持在线扫码支付。</w:t>
      </w:r>
    </w:p>
    <w:p w14:paraId="5DF8D1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14:paraId="27F131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14:paraId="0C7C9904">
      <w:pPr>
        <w:pStyle w:val="5"/>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4、招标文件售价：每个合同包</w:t>
      </w:r>
      <w:r>
        <w:rPr>
          <w:rFonts w:hint="eastAsia" w:hAnsi="宋体" w:cs="宋体"/>
          <w:color w:val="auto"/>
          <w:sz w:val="24"/>
          <w:szCs w:val="24"/>
          <w:highlight w:val="none"/>
          <w:u w:val="single"/>
          <w:lang w:val="en-US" w:eastAsia="zh-CN"/>
        </w:rPr>
        <w:t>50</w:t>
      </w:r>
      <w:r>
        <w:rPr>
          <w:rFonts w:hint="eastAsia" w:ascii="宋体" w:hAnsi="宋体" w:eastAsia="宋体" w:cs="宋体"/>
          <w:color w:val="auto"/>
          <w:sz w:val="24"/>
          <w:szCs w:val="24"/>
          <w:highlight w:val="none"/>
        </w:rPr>
        <w:t>元人民币，售后不退。</w:t>
      </w:r>
    </w:p>
    <w:p w14:paraId="0BCDAD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5、投标截止时间：投标文件应于</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23</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0（北京时间）之前登录厦门招投标网上传投标文件。已上传但未提示上传成功的投标无效。</w:t>
      </w:r>
    </w:p>
    <w:p w14:paraId="4BEE84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A、网上投标详见厦门招投标网－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操作手册—</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招标项目</w:t>
      </w:r>
      <w:r>
        <w:rPr>
          <w:rFonts w:hint="eastAsia" w:ascii="宋体" w:hAnsi="宋体" w:eastAsia="宋体" w:cs="宋体"/>
          <w:color w:val="auto"/>
          <w:sz w:val="24"/>
          <w:szCs w:val="24"/>
          <w:highlight w:val="none"/>
        </w:rPr>
        <w:t>操作手册》。</w:t>
      </w:r>
    </w:p>
    <w:p w14:paraId="4972588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4"/>
          <w:rFonts w:ascii="Helvetica" w:hAnsi="Helvetica" w:eastAsia="Helvetica" w:cs="Helvetica"/>
          <w:b w:val="0"/>
          <w:bCs w:val="0"/>
          <w:color w:val="auto"/>
          <w:sz w:val="24"/>
          <w:szCs w:val="24"/>
          <w:highlight w:val="none"/>
          <w:shd w:val="clear" w:color="auto" w:fill="FFFFFF"/>
        </w:rPr>
        <w:t>数字证书办理</w:t>
      </w:r>
      <w:r>
        <w:rPr>
          <w:rStyle w:val="14"/>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6CCDD5D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6、开标时间、地点:</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23</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0（北京时间）于</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eastAsia="zh-CN"/>
        </w:rPr>
        <w:t>C区</w:t>
      </w:r>
      <w:r>
        <w:rPr>
          <w:rFonts w:hint="eastAsia" w:ascii="宋体" w:hAnsi="宋体" w:cs="宋体"/>
          <w:b/>
          <w:color w:val="auto"/>
          <w:sz w:val="24"/>
          <w:szCs w:val="24"/>
          <w:highlight w:val="none"/>
          <w:u w:val="single"/>
        </w:rPr>
        <w:t>开标室6（C404）</w:t>
      </w:r>
      <w:r>
        <w:rPr>
          <w:rFonts w:hint="eastAsia" w:ascii="宋体" w:hAnsi="宋体" w:eastAsia="宋体" w:cs="宋体"/>
          <w:color w:val="auto"/>
          <w:sz w:val="24"/>
          <w:szCs w:val="24"/>
          <w:highlight w:val="none"/>
        </w:rPr>
        <w:t>进行公开开标。投标人可登陆厦门招投标网查看开标全过程。</w:t>
      </w:r>
    </w:p>
    <w:p w14:paraId="44A4C5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7、本项目（不接受）联合体投标。</w:t>
      </w:r>
    </w:p>
    <w:p w14:paraId="7930191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3B3C61EF">
      <w:pPr>
        <w:spacing w:line="360" w:lineRule="auto"/>
        <w:ind w:firstLine="480" w:firstLineChars="20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374C00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bCs/>
          <w:color w:val="auto"/>
          <w:sz w:val="24"/>
          <w:szCs w:val="24"/>
          <w:highlight w:val="none"/>
        </w:rPr>
        <w:t>将通过福建省政府采购网</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厦门招投标网等媒体发布通知信息，请投标人关注。</w:t>
      </w:r>
      <w:r>
        <w:rPr>
          <w:rFonts w:hint="eastAsia" w:ascii="宋体" w:hAnsi="宋体" w:eastAsia="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0FA217F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9、友情提醒：本项目全程采用网上招、投标方式进行采购，请各投标人必须按照有关规定要求在网上注册、</w:t>
      </w:r>
      <w:r>
        <w:rPr>
          <w:rStyle w:val="14"/>
          <w:rFonts w:ascii="Helvetica" w:hAnsi="Helvetica" w:eastAsia="Helvetica" w:cs="Helvetica"/>
          <w:color w:val="auto"/>
          <w:sz w:val="24"/>
          <w:szCs w:val="24"/>
          <w:highlight w:val="none"/>
          <w:shd w:val="clear" w:color="auto" w:fill="FFFFFF"/>
        </w:rPr>
        <w:t>需办理数字证书</w:t>
      </w:r>
      <w:r>
        <w:rPr>
          <w:rStyle w:val="14"/>
          <w:rFonts w:hint="eastAsia" w:ascii="Helvetica" w:hAnsi="Helvetica" w:cs="Helvetica"/>
          <w:color w:val="auto"/>
          <w:sz w:val="24"/>
          <w:szCs w:val="24"/>
          <w:highlight w:val="none"/>
          <w:shd w:val="clear" w:color="auto" w:fill="FFFFFF"/>
        </w:rPr>
        <w:t>、</w:t>
      </w:r>
      <w:r>
        <w:rPr>
          <w:rFonts w:hint="eastAsia" w:ascii="宋体" w:hAnsi="宋体" w:eastAsia="宋体" w:cs="宋体"/>
          <w:b/>
          <w:color w:val="auto"/>
          <w:sz w:val="24"/>
          <w:szCs w:val="24"/>
          <w:highlight w:val="none"/>
        </w:rPr>
        <w:t>购买招标文件和递交投标文件。</w:t>
      </w:r>
    </w:p>
    <w:p w14:paraId="3991C2C8">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、各有关联系方式</w:t>
      </w:r>
    </w:p>
    <w:tbl>
      <w:tblPr>
        <w:tblStyle w:val="11"/>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3276"/>
      </w:tblGrid>
      <w:tr w14:paraId="3A3048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14:paraId="6530BC2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14:paraId="38E85E4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097" w:type="dxa"/>
            <w:noWrap w:val="0"/>
            <w:vAlign w:val="center"/>
          </w:tcPr>
          <w:p w14:paraId="2C87DE7A">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190" w:type="dxa"/>
            <w:noWrap w:val="0"/>
            <w:vAlign w:val="center"/>
          </w:tcPr>
          <w:p w14:paraId="7195D4F4">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3276" w:type="dxa"/>
            <w:noWrap w:val="0"/>
            <w:vAlign w:val="center"/>
          </w:tcPr>
          <w:p w14:paraId="5F1FD45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14:paraId="21D8E7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40E7D49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14:paraId="6D3ED8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097" w:type="dxa"/>
            <w:noWrap w:val="0"/>
            <w:vAlign w:val="center"/>
          </w:tcPr>
          <w:p w14:paraId="6EE5AA29">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徐先生、陈</w:t>
            </w:r>
            <w:r>
              <w:rPr>
                <w:rFonts w:hint="eastAsia" w:ascii="宋体" w:hAnsi="宋体" w:eastAsia="宋体" w:cs="宋体"/>
                <w:color w:val="auto"/>
                <w:kern w:val="0"/>
                <w:sz w:val="24"/>
                <w:szCs w:val="24"/>
                <w:highlight w:val="none"/>
              </w:rPr>
              <w:t>小姐</w:t>
            </w:r>
          </w:p>
        </w:tc>
        <w:tc>
          <w:tcPr>
            <w:tcW w:w="3190" w:type="dxa"/>
            <w:noWrap w:val="0"/>
            <w:vAlign w:val="center"/>
          </w:tcPr>
          <w:p w14:paraId="48ABC587">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负责招标文件的咨询、答疑等工作</w:t>
            </w:r>
          </w:p>
        </w:tc>
        <w:tc>
          <w:tcPr>
            <w:tcW w:w="3276" w:type="dxa"/>
            <w:noWrap w:val="0"/>
            <w:vAlign w:val="center"/>
          </w:tcPr>
          <w:p w14:paraId="3A20517F">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0592-</w:t>
            </w:r>
            <w:r>
              <w:rPr>
                <w:rFonts w:hint="eastAsia" w:ascii="宋体" w:hAnsi="宋体" w:cs="宋体"/>
                <w:color w:val="auto"/>
                <w:sz w:val="24"/>
                <w:szCs w:val="24"/>
                <w:highlight w:val="none"/>
                <w:lang w:val="en-US" w:eastAsia="zh-CN"/>
              </w:rPr>
              <w:t>5730600、2298129</w:t>
            </w:r>
          </w:p>
          <w:p w14:paraId="1B241E30">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传真0592-5706660-6969</w:t>
            </w:r>
          </w:p>
        </w:tc>
      </w:tr>
      <w:tr w14:paraId="299179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68C9AA5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14:paraId="12D97F0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097" w:type="dxa"/>
            <w:noWrap w:val="0"/>
            <w:vAlign w:val="center"/>
          </w:tcPr>
          <w:p w14:paraId="3CD95F9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190" w:type="dxa"/>
            <w:noWrap w:val="0"/>
            <w:vAlign w:val="center"/>
          </w:tcPr>
          <w:p w14:paraId="5AE8651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3276" w:type="dxa"/>
            <w:noWrap w:val="0"/>
            <w:vAlign w:val="center"/>
          </w:tcPr>
          <w:p w14:paraId="250698FD">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7A08F5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3AC794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14:paraId="1041A5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097" w:type="dxa"/>
            <w:noWrap w:val="0"/>
            <w:vAlign w:val="center"/>
          </w:tcPr>
          <w:p w14:paraId="0EA605A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190" w:type="dxa"/>
            <w:noWrap w:val="0"/>
            <w:vAlign w:val="center"/>
          </w:tcPr>
          <w:p w14:paraId="3112A4D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3276" w:type="dxa"/>
            <w:noWrap w:val="0"/>
            <w:vAlign w:val="center"/>
          </w:tcPr>
          <w:p w14:paraId="2ADC7D7D">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14:paraId="19C516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0969566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14:paraId="307BCD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097" w:type="dxa"/>
            <w:noWrap w:val="0"/>
            <w:vAlign w:val="center"/>
          </w:tcPr>
          <w:p w14:paraId="0617A26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190" w:type="dxa"/>
            <w:noWrap w:val="0"/>
            <w:vAlign w:val="center"/>
          </w:tcPr>
          <w:p w14:paraId="6692160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3276" w:type="dxa"/>
            <w:noWrap w:val="0"/>
            <w:vAlign w:val="center"/>
          </w:tcPr>
          <w:p w14:paraId="62A23E7B">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14:paraId="62685F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726737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14:paraId="3F3DBA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097" w:type="dxa"/>
            <w:noWrap w:val="0"/>
            <w:vAlign w:val="center"/>
          </w:tcPr>
          <w:p w14:paraId="7CF6053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190" w:type="dxa"/>
            <w:noWrap w:val="0"/>
            <w:vAlign w:val="center"/>
          </w:tcPr>
          <w:p w14:paraId="25F1FD39">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3276" w:type="dxa"/>
            <w:noWrap w:val="0"/>
            <w:vAlign w:val="center"/>
          </w:tcPr>
          <w:p w14:paraId="544646E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14:paraId="68A7EA4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14:paraId="541D5AB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14:paraId="52541700">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14:paraId="55DF4C61">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1"/>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31CBE3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14:paraId="2129B37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14:paraId="092C05D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602" w:type="dxa"/>
            <w:noWrap w:val="0"/>
            <w:vAlign w:val="center"/>
          </w:tcPr>
          <w:p w14:paraId="4CE925D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14:paraId="176362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14:paraId="2BB2A7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14:paraId="6FFFEA8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14:paraId="195B9D5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2EE2E3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4D1FA03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14:paraId="5A407B8C">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14:paraId="542316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14:paraId="2943DB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5840BB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842" w:type="dxa"/>
            <w:gridSpan w:val="2"/>
            <w:noWrap w:val="0"/>
            <w:vAlign w:val="center"/>
          </w:tcPr>
          <w:p w14:paraId="66F160C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14:paraId="725F20C4">
      <w:pPr>
        <w:tabs>
          <w:tab w:val="left" w:pos="1140"/>
        </w:tabs>
        <w:spacing w:line="360" w:lineRule="auto"/>
        <w:ind w:firstLine="480" w:firstLineChars="200"/>
        <w:rPr>
          <w:rFonts w:hint="eastAsia" w:ascii="宋体" w:hAnsi="宋体" w:eastAsia="宋体" w:cs="宋体"/>
          <w:color w:val="auto"/>
          <w:sz w:val="24"/>
          <w:szCs w:val="24"/>
          <w:highlight w:val="none"/>
        </w:rPr>
      </w:pPr>
    </w:p>
    <w:p w14:paraId="647DCA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14:paraId="626BF7BA">
      <w:pPr>
        <w:numPr>
          <w:ilvl w:val="-1"/>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12、注意事项：</w:t>
      </w:r>
    </w:p>
    <w:p w14:paraId="1853FE43">
      <w:pPr>
        <w:keepNext w:val="0"/>
        <w:keepLines w:val="0"/>
        <w:pageBreakBefore w:val="0"/>
        <w:widowControl/>
        <w:numPr>
          <w:ilvl w:val="0"/>
          <w:numId w:val="0"/>
        </w:numPr>
        <w:tabs>
          <w:tab w:val="left" w:pos="-1080"/>
          <w:tab w:val="left" w:pos="180"/>
          <w:tab w:val="left" w:pos="10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项目中标供应商服务费发票将以邮件方式发送至购标指定邮箱。</w:t>
      </w:r>
    </w:p>
    <w:p w14:paraId="0D97DCFF">
      <w:pPr>
        <w:numPr>
          <w:ilvl w:val="-1"/>
          <w:numId w:val="0"/>
        </w:numPr>
        <w:spacing w:line="360" w:lineRule="auto"/>
        <w:ind w:firstLine="0" w:firstLineChars="0"/>
        <w:rPr>
          <w:rFonts w:hint="default" w:ascii="宋体" w:hAnsi="宋体" w:cs="宋体"/>
          <w:color w:val="auto"/>
          <w:sz w:val="24"/>
          <w:szCs w:val="24"/>
          <w:highlight w:val="none"/>
          <w:lang w:val="en-US" w:eastAsia="zh-CN"/>
        </w:rPr>
      </w:pPr>
    </w:p>
    <w:p w14:paraId="28C9840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招标代理机构：厦门万翔招标有限公司 </w:t>
      </w:r>
    </w:p>
    <w:p w14:paraId="4EABE4C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14:paraId="4224AB7D">
      <w:pPr>
        <w:tabs>
          <w:tab w:val="left" w:pos="2775"/>
        </w:tabs>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14:paraId="385FC2D1">
      <w:pPr>
        <w:spacing w:line="360" w:lineRule="auto"/>
        <w:ind w:firstLine="480" w:firstLineChars="200"/>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合同款项事宜联系人：</w:t>
      </w:r>
      <w:r>
        <w:rPr>
          <w:rFonts w:hint="eastAsia" w:ascii="宋体" w:hAnsi="宋体" w:cs="宋体"/>
          <w:color w:val="auto"/>
          <w:kern w:val="2"/>
          <w:sz w:val="24"/>
          <w:szCs w:val="24"/>
          <w:highlight w:val="none"/>
          <w:lang w:val="en-US" w:eastAsia="zh-CN"/>
        </w:rPr>
        <w:t>陈先生0592-5706825</w:t>
      </w:r>
    </w:p>
    <w:p w14:paraId="6AEA802F">
      <w:pPr>
        <w:tabs>
          <w:tab w:val="left" w:pos="2775"/>
        </w:tabs>
        <w:spacing w:line="360" w:lineRule="auto"/>
        <w:ind w:firstLine="480"/>
        <w:rPr>
          <w:rFonts w:hint="eastAsia" w:ascii="宋体" w:hAnsi="宋体" w:eastAsia="宋体" w:cs="宋体"/>
          <w:color w:val="auto"/>
          <w:sz w:val="24"/>
          <w:szCs w:val="24"/>
          <w:highlight w:val="none"/>
        </w:rPr>
      </w:pPr>
    </w:p>
    <w:p w14:paraId="0D983B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9AC16B3">
      <w:pPr>
        <w:spacing w:line="360" w:lineRule="auto"/>
        <w:rPr>
          <w:rFonts w:hint="eastAsia" w:ascii="宋体" w:hAnsi="宋体" w:eastAsia="宋体" w:cs="宋体"/>
          <w:color w:val="auto"/>
          <w:sz w:val="24"/>
          <w:szCs w:val="24"/>
          <w:highlight w:val="none"/>
        </w:rPr>
      </w:pPr>
    </w:p>
    <w:p w14:paraId="584262B7">
      <w:pPr>
        <w:spacing w:line="360" w:lineRule="auto"/>
        <w:rPr>
          <w:rFonts w:hint="eastAsia" w:ascii="宋体" w:hAnsi="宋体" w:eastAsia="宋体" w:cs="宋体"/>
          <w:color w:val="auto"/>
          <w:sz w:val="24"/>
          <w:szCs w:val="24"/>
          <w:highlight w:val="none"/>
        </w:rPr>
      </w:pPr>
    </w:p>
    <w:p w14:paraId="7669D409">
      <w:pPr>
        <w:spacing w:line="360" w:lineRule="auto"/>
        <w:rPr>
          <w:rFonts w:hint="eastAsia" w:ascii="宋体" w:hAnsi="宋体" w:eastAsia="宋体" w:cs="宋体"/>
          <w:color w:val="auto"/>
          <w:sz w:val="24"/>
          <w:szCs w:val="24"/>
          <w:highlight w:val="none"/>
        </w:rPr>
      </w:pPr>
    </w:p>
    <w:p w14:paraId="15B45762">
      <w:pPr>
        <w:spacing w:line="360" w:lineRule="auto"/>
        <w:rPr>
          <w:rFonts w:hint="eastAsia" w:ascii="宋体" w:hAnsi="宋体" w:eastAsia="宋体" w:cs="宋体"/>
          <w:color w:val="auto"/>
          <w:sz w:val="24"/>
          <w:szCs w:val="24"/>
          <w:highlight w:val="none"/>
        </w:rPr>
      </w:pPr>
    </w:p>
    <w:p w14:paraId="4C3F231D">
      <w:pPr>
        <w:spacing w:line="360" w:lineRule="auto"/>
        <w:rPr>
          <w:rFonts w:hint="eastAsia" w:ascii="宋体" w:hAnsi="宋体" w:eastAsia="宋体" w:cs="宋体"/>
          <w:color w:val="auto"/>
          <w:sz w:val="24"/>
          <w:szCs w:val="24"/>
          <w:highlight w:val="none"/>
        </w:rPr>
      </w:pPr>
    </w:p>
    <w:p w14:paraId="7B4DB342">
      <w:pPr>
        <w:spacing w:line="360" w:lineRule="auto"/>
        <w:rPr>
          <w:rFonts w:hint="eastAsia" w:ascii="宋体" w:hAnsi="宋体" w:eastAsia="宋体" w:cs="宋体"/>
          <w:color w:val="auto"/>
          <w:sz w:val="24"/>
          <w:szCs w:val="24"/>
          <w:highlight w:val="none"/>
        </w:rPr>
      </w:pPr>
    </w:p>
    <w:p w14:paraId="0A0A5314">
      <w:pPr>
        <w:spacing w:line="360" w:lineRule="auto"/>
        <w:rPr>
          <w:rFonts w:hint="eastAsia" w:ascii="宋体" w:hAnsi="宋体" w:eastAsia="宋体" w:cs="宋体"/>
          <w:color w:val="auto"/>
          <w:sz w:val="24"/>
          <w:szCs w:val="24"/>
          <w:highlight w:val="none"/>
        </w:rPr>
      </w:pPr>
    </w:p>
    <w:p w14:paraId="29589067">
      <w:pPr>
        <w:spacing w:line="360" w:lineRule="auto"/>
        <w:rPr>
          <w:rFonts w:hint="eastAsia" w:ascii="宋体" w:hAnsi="宋体" w:eastAsia="宋体" w:cs="宋体"/>
          <w:color w:val="auto"/>
          <w:sz w:val="24"/>
          <w:szCs w:val="24"/>
          <w:highlight w:val="none"/>
        </w:rPr>
      </w:pPr>
    </w:p>
    <w:p w14:paraId="496C1C96">
      <w:pPr>
        <w:spacing w:line="360" w:lineRule="auto"/>
        <w:rPr>
          <w:rFonts w:hint="eastAsia" w:ascii="宋体" w:hAnsi="宋体" w:eastAsia="宋体" w:cs="宋体"/>
          <w:color w:val="auto"/>
          <w:sz w:val="24"/>
          <w:szCs w:val="24"/>
          <w:highlight w:val="none"/>
        </w:rPr>
      </w:pPr>
    </w:p>
    <w:p w14:paraId="75FC15BA">
      <w:pPr>
        <w:spacing w:line="360" w:lineRule="auto"/>
        <w:rPr>
          <w:rFonts w:hint="eastAsia" w:ascii="宋体" w:hAnsi="宋体" w:eastAsia="宋体" w:cs="宋体"/>
          <w:color w:val="auto"/>
          <w:sz w:val="24"/>
          <w:szCs w:val="24"/>
          <w:highlight w:val="none"/>
        </w:rPr>
      </w:pPr>
    </w:p>
    <w:p w14:paraId="4C482C90">
      <w:pPr>
        <w:spacing w:line="360" w:lineRule="auto"/>
        <w:rPr>
          <w:rFonts w:hint="eastAsia" w:ascii="宋体" w:hAnsi="宋体" w:eastAsia="宋体" w:cs="宋体"/>
          <w:color w:val="auto"/>
          <w:sz w:val="24"/>
          <w:szCs w:val="24"/>
          <w:highlight w:val="none"/>
        </w:rPr>
      </w:pPr>
    </w:p>
    <w:p w14:paraId="10680C7A">
      <w:pPr>
        <w:spacing w:line="360" w:lineRule="auto"/>
        <w:rPr>
          <w:rFonts w:hint="eastAsia" w:ascii="宋体" w:hAnsi="宋体" w:eastAsia="宋体" w:cs="宋体"/>
          <w:color w:val="auto"/>
          <w:sz w:val="24"/>
          <w:szCs w:val="24"/>
          <w:highlight w:val="none"/>
        </w:rPr>
      </w:pPr>
    </w:p>
    <w:p w14:paraId="5894637D">
      <w:pPr>
        <w:spacing w:line="360" w:lineRule="auto"/>
        <w:rPr>
          <w:rFonts w:hint="eastAsia" w:ascii="宋体" w:hAnsi="宋体" w:eastAsia="宋体" w:cs="宋体"/>
          <w:color w:val="auto"/>
          <w:sz w:val="24"/>
          <w:szCs w:val="24"/>
          <w:highlight w:val="none"/>
        </w:rPr>
      </w:pPr>
    </w:p>
    <w:p w14:paraId="09AE8190">
      <w:pPr>
        <w:spacing w:line="360" w:lineRule="auto"/>
        <w:rPr>
          <w:rFonts w:hint="eastAsia" w:ascii="宋体" w:hAnsi="宋体" w:eastAsia="宋体" w:cs="宋体"/>
          <w:color w:val="auto"/>
          <w:sz w:val="24"/>
          <w:szCs w:val="24"/>
          <w:highlight w:val="none"/>
        </w:rPr>
      </w:pPr>
    </w:p>
    <w:p w14:paraId="1759485A">
      <w:pPr>
        <w:spacing w:line="360" w:lineRule="auto"/>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附：招标货物(服务)一览表</w:t>
      </w:r>
    </w:p>
    <w:p w14:paraId="4BE38980">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1"/>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620"/>
        <w:gridCol w:w="1080"/>
        <w:gridCol w:w="2027"/>
      </w:tblGrid>
      <w:tr w14:paraId="52B1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14:paraId="6D847AE3">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合同包</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7C9EC6A">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品目号</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09E2410C">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货物名称</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D04BB8B">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数量</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788BF3C">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主要技术规格</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87F5050">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交货地点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03E7F425">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使用单位</w:t>
            </w:r>
          </w:p>
        </w:tc>
      </w:tr>
      <w:tr w14:paraId="5997A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14:paraId="7E17C7F4">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XM2026 -DZ</w:t>
            </w:r>
            <w:r>
              <w:rPr>
                <w:rFonts w:hint="eastAsia" w:ascii="宋体" w:hAnsi="宋体" w:eastAsia="宋体" w:cs="宋体"/>
                <w:b w:val="0"/>
                <w:bCs w:val="0"/>
                <w:color w:val="auto"/>
                <w:sz w:val="24"/>
                <w:szCs w:val="24"/>
                <w:highlight w:val="none"/>
                <w:lang w:val="en-US" w:eastAsia="zh-CN"/>
              </w:rPr>
              <w:t>0031</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3BB8EE5">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1-1</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5CB25933">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其他家具（集美中学侨英校区女生宿舍家具更换</w:t>
            </w:r>
            <w:r>
              <w:rPr>
                <w:rFonts w:hint="default"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lang w:val="en-US" w:eastAsia="zh-CN"/>
              </w:rPr>
              <w:t>）</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5CF58AB">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1批</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D274BE0">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详见招标内容及要求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89083F9">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使用单位指定地点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0C003CB9">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福建省厦门集美中学</w:t>
            </w:r>
          </w:p>
          <w:p w14:paraId="57539EB5">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p>
        </w:tc>
      </w:tr>
    </w:tbl>
    <w:p w14:paraId="4C01DCFA">
      <w:pPr>
        <w:spacing w:line="360" w:lineRule="auto"/>
        <w:jc w:val="both"/>
        <w:rPr>
          <w:rFonts w:hint="eastAsia" w:ascii="宋体" w:hAnsi="宋体" w:eastAsia="宋体" w:cs="宋体"/>
          <w:b/>
          <w:color w:val="auto"/>
          <w:sz w:val="32"/>
          <w:szCs w:val="32"/>
          <w:highlight w:val="none"/>
        </w:rPr>
      </w:pPr>
    </w:p>
    <w:p w14:paraId="58FFAEF1">
      <w:pPr>
        <w:pStyle w:val="5"/>
        <w:tabs>
          <w:tab w:val="left" w:pos="8360"/>
        </w:tabs>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注：投标人可按合同包投标，对同一合同包内所有品目号内容投标时必须完整。评标与授标以合同包为单位。</w:t>
      </w:r>
    </w:p>
    <w:p w14:paraId="52406896">
      <w:pPr>
        <w:pStyle w:val="5"/>
        <w:tabs>
          <w:tab w:val="left" w:pos="8360"/>
        </w:tabs>
        <w:spacing w:line="360" w:lineRule="auto"/>
        <w:jc w:val="left"/>
        <w:rPr>
          <w:rFonts w:hint="eastAsia" w:ascii="宋体" w:hAnsi="宋体" w:eastAsia="宋体" w:cs="宋体"/>
          <w:color w:val="auto"/>
          <w:sz w:val="24"/>
          <w:szCs w:val="24"/>
          <w:highlight w:val="none"/>
        </w:rPr>
      </w:pPr>
    </w:p>
    <w:p w14:paraId="22DA925C">
      <w:pPr>
        <w:pStyle w:val="5"/>
        <w:tabs>
          <w:tab w:val="left" w:pos="8360"/>
        </w:tabs>
        <w:spacing w:line="360" w:lineRule="auto"/>
        <w:jc w:val="left"/>
        <w:rPr>
          <w:rFonts w:hint="eastAsia" w:ascii="宋体" w:hAnsi="宋体" w:eastAsia="宋体" w:cs="宋体"/>
          <w:color w:val="auto"/>
          <w:sz w:val="24"/>
          <w:szCs w:val="24"/>
          <w:highlight w:val="none"/>
        </w:rPr>
      </w:pPr>
    </w:p>
    <w:p w14:paraId="5E66BEB1">
      <w:pPr>
        <w:pStyle w:val="5"/>
        <w:tabs>
          <w:tab w:val="left" w:pos="8360"/>
        </w:tabs>
        <w:spacing w:line="360" w:lineRule="auto"/>
        <w:jc w:val="left"/>
        <w:rPr>
          <w:rFonts w:hint="eastAsia" w:ascii="宋体" w:hAnsi="宋体" w:eastAsia="宋体" w:cs="宋体"/>
          <w:color w:val="auto"/>
          <w:sz w:val="24"/>
          <w:szCs w:val="24"/>
          <w:highlight w:val="none"/>
        </w:rPr>
      </w:pPr>
    </w:p>
    <w:p w14:paraId="1380DCEC">
      <w:pPr>
        <w:pStyle w:val="5"/>
        <w:tabs>
          <w:tab w:val="left" w:pos="8360"/>
        </w:tabs>
        <w:spacing w:line="360" w:lineRule="auto"/>
        <w:jc w:val="left"/>
        <w:rPr>
          <w:rFonts w:hint="eastAsia" w:ascii="宋体" w:hAnsi="宋体" w:eastAsia="宋体" w:cs="宋体"/>
          <w:color w:val="auto"/>
          <w:sz w:val="24"/>
          <w:szCs w:val="24"/>
          <w:highlight w:val="none"/>
        </w:rPr>
      </w:pPr>
    </w:p>
    <w:p w14:paraId="720C92D4">
      <w:pPr>
        <w:pStyle w:val="5"/>
        <w:tabs>
          <w:tab w:val="left" w:pos="8360"/>
        </w:tabs>
        <w:spacing w:line="360" w:lineRule="auto"/>
        <w:jc w:val="left"/>
        <w:rPr>
          <w:rFonts w:hint="eastAsia" w:ascii="宋体" w:hAnsi="宋体" w:eastAsia="宋体" w:cs="宋体"/>
          <w:color w:val="auto"/>
          <w:sz w:val="24"/>
          <w:szCs w:val="24"/>
          <w:highlight w:val="none"/>
        </w:rPr>
      </w:pPr>
    </w:p>
    <w:p w14:paraId="64AF8384">
      <w:pPr>
        <w:pStyle w:val="5"/>
        <w:tabs>
          <w:tab w:val="left" w:pos="8360"/>
        </w:tabs>
        <w:spacing w:line="360" w:lineRule="auto"/>
        <w:jc w:val="left"/>
        <w:rPr>
          <w:rFonts w:hint="eastAsia" w:ascii="宋体" w:hAnsi="宋体" w:eastAsia="宋体" w:cs="宋体"/>
          <w:color w:val="auto"/>
          <w:sz w:val="24"/>
          <w:szCs w:val="24"/>
          <w:highlight w:val="none"/>
        </w:rPr>
      </w:pPr>
    </w:p>
    <w:p w14:paraId="7F3C6F42">
      <w:pPr>
        <w:pStyle w:val="5"/>
        <w:tabs>
          <w:tab w:val="left" w:pos="8360"/>
        </w:tabs>
        <w:spacing w:line="360" w:lineRule="auto"/>
        <w:jc w:val="left"/>
        <w:rPr>
          <w:rFonts w:hint="eastAsia" w:ascii="宋体" w:hAnsi="宋体" w:eastAsia="宋体" w:cs="宋体"/>
          <w:color w:val="auto"/>
          <w:sz w:val="24"/>
          <w:szCs w:val="24"/>
          <w:highlight w:val="none"/>
        </w:rPr>
      </w:pPr>
    </w:p>
    <w:p w14:paraId="0457FFB0">
      <w:pPr>
        <w:pStyle w:val="5"/>
        <w:tabs>
          <w:tab w:val="left" w:pos="8360"/>
        </w:tabs>
        <w:spacing w:line="360" w:lineRule="auto"/>
        <w:jc w:val="left"/>
        <w:rPr>
          <w:rFonts w:hint="eastAsia" w:ascii="宋体" w:hAnsi="宋体" w:eastAsia="宋体" w:cs="宋体"/>
          <w:color w:val="auto"/>
          <w:sz w:val="24"/>
          <w:szCs w:val="24"/>
          <w:highlight w:val="none"/>
        </w:rPr>
      </w:pPr>
    </w:p>
    <w:p w14:paraId="24F619E1">
      <w:pPr>
        <w:pStyle w:val="5"/>
        <w:tabs>
          <w:tab w:val="left" w:pos="8360"/>
        </w:tabs>
        <w:spacing w:line="360" w:lineRule="auto"/>
        <w:jc w:val="left"/>
        <w:rPr>
          <w:rFonts w:hint="eastAsia" w:ascii="宋体" w:hAnsi="宋体" w:eastAsia="宋体" w:cs="宋体"/>
          <w:color w:val="auto"/>
          <w:sz w:val="24"/>
          <w:szCs w:val="24"/>
          <w:highlight w:val="none"/>
        </w:rPr>
      </w:pPr>
    </w:p>
    <w:p w14:paraId="5A73B0B8">
      <w:pPr>
        <w:pStyle w:val="5"/>
        <w:tabs>
          <w:tab w:val="left" w:pos="8360"/>
        </w:tabs>
        <w:spacing w:line="360" w:lineRule="auto"/>
        <w:jc w:val="left"/>
        <w:rPr>
          <w:rFonts w:hint="eastAsia" w:ascii="宋体" w:hAnsi="宋体" w:eastAsia="宋体" w:cs="宋体"/>
          <w:color w:val="auto"/>
          <w:sz w:val="24"/>
          <w:szCs w:val="24"/>
          <w:highlight w:val="none"/>
        </w:rPr>
      </w:pPr>
    </w:p>
    <w:p w14:paraId="1E186660">
      <w:pPr>
        <w:pStyle w:val="5"/>
        <w:tabs>
          <w:tab w:val="left" w:pos="8360"/>
        </w:tabs>
        <w:spacing w:line="360" w:lineRule="auto"/>
        <w:jc w:val="left"/>
        <w:rPr>
          <w:rFonts w:hint="eastAsia" w:ascii="宋体" w:hAnsi="宋体" w:eastAsia="宋体" w:cs="宋体"/>
          <w:color w:val="auto"/>
          <w:sz w:val="24"/>
          <w:szCs w:val="24"/>
          <w:highlight w:val="none"/>
        </w:rPr>
      </w:pPr>
    </w:p>
    <w:p w14:paraId="35421D1B">
      <w:pPr>
        <w:pStyle w:val="5"/>
        <w:tabs>
          <w:tab w:val="left" w:pos="8360"/>
        </w:tabs>
        <w:spacing w:line="360" w:lineRule="auto"/>
        <w:jc w:val="left"/>
        <w:rPr>
          <w:rFonts w:hint="eastAsia" w:ascii="宋体" w:hAnsi="宋体" w:eastAsia="宋体" w:cs="宋体"/>
          <w:color w:val="auto"/>
          <w:sz w:val="24"/>
          <w:szCs w:val="24"/>
          <w:highlight w:val="none"/>
        </w:rPr>
      </w:pPr>
    </w:p>
    <w:p w14:paraId="708E57A8">
      <w:pPr>
        <w:pStyle w:val="5"/>
        <w:tabs>
          <w:tab w:val="left" w:pos="8360"/>
        </w:tabs>
        <w:spacing w:line="360" w:lineRule="auto"/>
        <w:jc w:val="left"/>
        <w:rPr>
          <w:rFonts w:hint="eastAsia" w:ascii="宋体" w:hAnsi="宋体" w:eastAsia="宋体" w:cs="宋体"/>
          <w:color w:val="auto"/>
          <w:sz w:val="24"/>
          <w:szCs w:val="24"/>
          <w:highlight w:val="none"/>
        </w:rPr>
      </w:pPr>
    </w:p>
    <w:p w14:paraId="4C1D2CC6">
      <w:pPr>
        <w:pStyle w:val="2"/>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14:paraId="3C5FDC3A">
      <w:pPr>
        <w:pStyle w:val="16"/>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第二章  投标人须知</w:t>
      </w:r>
    </w:p>
    <w:p w14:paraId="15ACA77E">
      <w:pPr>
        <w:pStyle w:val="16"/>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投标人须知前附表1</w:t>
      </w:r>
    </w:p>
    <w:p w14:paraId="784AC402">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1"/>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680FE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14:paraId="68F7F07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14:paraId="072FE56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14:paraId="292A767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08B5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14:paraId="312CEB1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14:paraId="250BC04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14:paraId="4699A794">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项目名称： </w:t>
            </w:r>
            <w:r>
              <w:rPr>
                <w:rFonts w:hint="eastAsia" w:ascii="宋体" w:hAnsi="宋体" w:cs="宋体"/>
                <w:color w:val="auto"/>
                <w:sz w:val="24"/>
                <w:szCs w:val="24"/>
                <w:highlight w:val="none"/>
                <w:lang w:val="en-US" w:eastAsia="zh-CN"/>
              </w:rPr>
              <w:t>其他家具（集美中学侨英校区女生宿舍家具更换</w:t>
            </w:r>
            <w:r>
              <w:rPr>
                <w:rFonts w:hint="default" w:ascii="宋体" w:hAnsi="宋体" w:cs="宋体"/>
                <w:color w:val="auto"/>
                <w:sz w:val="24"/>
                <w:szCs w:val="24"/>
                <w:highlight w:val="none"/>
                <w:lang w:eastAsia="zh-CN"/>
              </w:rPr>
              <w:t>采购</w:t>
            </w:r>
            <w:r>
              <w:rPr>
                <w:rFonts w:hint="eastAsia" w:ascii="宋体" w:hAnsi="宋体" w:cs="宋体"/>
                <w:color w:val="auto"/>
                <w:sz w:val="24"/>
                <w:szCs w:val="24"/>
                <w:highlight w:val="none"/>
                <w:lang w:val="en-US" w:eastAsia="zh-CN"/>
              </w:rPr>
              <w:t>）</w:t>
            </w:r>
          </w:p>
          <w:p w14:paraId="5EDFAC26">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6DC26E21">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63AEAE22">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项目内容： </w:t>
            </w:r>
            <w:r>
              <w:rPr>
                <w:rFonts w:hint="eastAsia" w:ascii="宋体" w:hAnsi="宋体" w:cs="宋体"/>
                <w:color w:val="auto"/>
                <w:sz w:val="24"/>
                <w:szCs w:val="24"/>
                <w:highlight w:val="none"/>
                <w:lang w:val="en-US" w:eastAsia="zh-CN"/>
              </w:rPr>
              <w:t>其他家具（集美中学侨英校区女生宿舍家具更换</w:t>
            </w:r>
            <w:r>
              <w:rPr>
                <w:rFonts w:hint="default" w:ascii="宋体" w:hAnsi="宋体" w:cs="宋体"/>
                <w:color w:val="auto"/>
                <w:sz w:val="24"/>
                <w:szCs w:val="24"/>
                <w:highlight w:val="none"/>
                <w:lang w:eastAsia="zh-CN"/>
              </w:rPr>
              <w:t>采购</w:t>
            </w:r>
            <w:r>
              <w:rPr>
                <w:rFonts w:hint="eastAsia" w:ascii="宋体" w:hAnsi="宋体" w:cs="宋体"/>
                <w:color w:val="auto"/>
                <w:sz w:val="24"/>
                <w:szCs w:val="24"/>
                <w:highlight w:val="none"/>
                <w:lang w:val="en-US" w:eastAsia="zh-CN"/>
              </w:rPr>
              <w:t>）</w:t>
            </w:r>
          </w:p>
          <w:p w14:paraId="583E2762">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rPr>
              <w:t>项目编号：</w:t>
            </w:r>
            <w:r>
              <w:rPr>
                <w:rFonts w:hint="eastAsia" w:ascii="宋体" w:hAnsi="宋体" w:cs="宋体"/>
                <w:color w:val="auto"/>
                <w:sz w:val="24"/>
                <w:szCs w:val="24"/>
                <w:highlight w:val="none"/>
                <w:lang w:eastAsia="zh-CN"/>
              </w:rPr>
              <w:t>XM2026</w:t>
            </w:r>
            <w:r>
              <w:rPr>
                <w:rFonts w:hint="eastAsia" w:ascii="宋体" w:hAnsi="宋体" w:cs="宋体"/>
                <w:color w:val="auto"/>
                <w:sz w:val="24"/>
                <w:szCs w:val="24"/>
                <w:highlight w:val="none"/>
              </w:rPr>
              <w:t>-DZ</w:t>
            </w:r>
            <w:r>
              <w:rPr>
                <w:rFonts w:hint="eastAsia" w:ascii="宋体" w:hAnsi="宋体" w:cs="宋体"/>
                <w:color w:val="auto"/>
                <w:sz w:val="24"/>
                <w:szCs w:val="24"/>
                <w:highlight w:val="none"/>
                <w:lang w:val="en-US" w:eastAsia="zh-CN"/>
              </w:rPr>
              <w:t>0031</w:t>
            </w:r>
          </w:p>
          <w:p w14:paraId="26ACB6E7">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cs="宋体"/>
                <w:color w:val="auto"/>
                <w:sz w:val="24"/>
                <w:szCs w:val="24"/>
                <w:highlight w:val="none"/>
                <w:lang w:val="en-US" w:eastAsia="zh-CN"/>
              </w:rPr>
              <w:t>采购预算：</w:t>
            </w:r>
            <w:r>
              <w:rPr>
                <w:rFonts w:hint="eastAsia" w:ascii="宋体" w:hAnsi="宋体" w:cs="宋体"/>
                <w:color w:val="auto"/>
                <w:sz w:val="24"/>
                <w:szCs w:val="24"/>
                <w:highlight w:val="none"/>
              </w:rPr>
              <w:t>人民币</w:t>
            </w:r>
            <w:r>
              <w:rPr>
                <w:rFonts w:hint="eastAsia" w:ascii="宋体" w:hAnsi="宋体" w:cs="宋体"/>
                <w:color w:val="auto"/>
                <w:sz w:val="24"/>
                <w:szCs w:val="24"/>
                <w:highlight w:val="none"/>
                <w:lang w:val="en-US" w:eastAsia="zh-CN"/>
              </w:rPr>
              <w:t xml:space="preserve"> 350</w:t>
            </w:r>
            <w:r>
              <w:rPr>
                <w:rFonts w:hint="eastAsia" w:ascii="宋体" w:hAnsi="宋体" w:cs="宋体"/>
                <w:color w:val="auto"/>
                <w:sz w:val="24"/>
                <w:szCs w:val="24"/>
                <w:highlight w:val="none"/>
              </w:rPr>
              <w:t>万元整</w:t>
            </w:r>
          </w:p>
        </w:tc>
      </w:tr>
      <w:tr w14:paraId="6FAE1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14:paraId="1A48E0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14:paraId="3290DA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14:paraId="55E37A6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14:paraId="429DE01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14:paraId="09EE4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0F27B4B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14:paraId="4D30E95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14:paraId="28D46F8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14:paraId="0A6BDA2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14:paraId="03B05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551304E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14:paraId="1BFFEA6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14:paraId="04B666E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14:paraId="1C4F710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14:paraId="3FCB9F7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14:paraId="63D13F2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所有采购标的均为中小企业（含个体工商户）制造的货物，或者监狱企业提供本单位制造的货物；或者残疾人福利性单位提供本单位制造的货物（或提供其他残疾人福利性单位制造的货物），投标保证金</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交纳投标保证金的投标人应按照招标文件格式要求在投标文件中提供《中小企业声明函》。</w:t>
            </w:r>
          </w:p>
          <w:p w14:paraId="1B754351">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14:paraId="4A310D27">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14:paraId="67AB9BE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724C4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54A33C79">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14:paraId="1AB2A3B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14:paraId="6A50081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14:paraId="776873DD">
            <w:pPr>
              <w:pStyle w:val="5"/>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详见《投标人须知前附表3》。</w:t>
            </w:r>
          </w:p>
        </w:tc>
      </w:tr>
      <w:tr w14:paraId="65BC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5B4DB8A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14:paraId="4C9E4650">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14:paraId="3B9339C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6AD792E8">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2CD39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3275A26">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14:paraId="2C1C31E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14:paraId="52EB7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3C50943">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14:paraId="265157D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5367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6D1A4D53">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14:paraId="6EC5833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14:paraId="21783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F1994B7">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14:paraId="2AF3CDBE">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14:paraId="1BBD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F1AD3FB">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14:paraId="4607A605">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14:paraId="7EFF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E340437">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14:paraId="5299CDB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14:paraId="3A9D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4E89EDCA">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14:paraId="1F23A3D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14:paraId="4992E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10C73C1">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14:paraId="70FF1924">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14:paraId="69D0413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14:paraId="6CE78E9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14:paraId="6B7A706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542F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115A630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54F5AA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085B878A">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监督管理部门：厦门市</w:t>
            </w:r>
            <w:r>
              <w:rPr>
                <w:rFonts w:hint="eastAsia" w:ascii="宋体" w:hAnsi="宋体" w:cs="宋体"/>
                <w:color w:val="auto"/>
                <w:sz w:val="24"/>
                <w:szCs w:val="24"/>
                <w:highlight w:val="none"/>
                <w:lang w:val="en-US" w:eastAsia="zh-CN"/>
              </w:rPr>
              <w:t>集美区</w:t>
            </w:r>
            <w:r>
              <w:rPr>
                <w:rFonts w:hint="eastAsia" w:ascii="宋体" w:hAnsi="宋体" w:eastAsia="宋体" w:cs="宋体"/>
                <w:color w:val="auto"/>
                <w:sz w:val="24"/>
                <w:szCs w:val="24"/>
                <w:highlight w:val="none"/>
              </w:rPr>
              <w:t>财政局。</w:t>
            </w:r>
            <w:r>
              <w:rPr>
                <w:rFonts w:hint="eastAsia" w:ascii="宋体" w:hAnsi="宋体" w:cs="宋体"/>
                <w:color w:val="auto"/>
                <w:sz w:val="24"/>
                <w:szCs w:val="24"/>
                <w:highlight w:val="none"/>
                <w:lang w:val="en-US" w:eastAsia="zh-CN"/>
              </w:rPr>
              <w:t>联系电话：0592-6106198.</w:t>
            </w:r>
          </w:p>
        </w:tc>
      </w:tr>
      <w:tr w14:paraId="7F3A2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5351959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CCAE44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4C734A9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r w14:paraId="78544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598B0DD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7332E2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5A7B06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1、关于证明材料或资料：</w:t>
            </w:r>
          </w:p>
          <w:p w14:paraId="5697A1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21549D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b.若投标人提供注明“复印件无效”或“复印无效”的证明材料或资料，应结合上文a条款进行判定，若招标文件未要求投标人提供原件，投标人提供原件，复印件（含扫描件）均视为满足招标文件要求。</w:t>
            </w:r>
          </w:p>
          <w:p w14:paraId="39FC79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2、关于“全称”、“投标人代表签字”及“加盖单位公章”：</w:t>
            </w:r>
          </w:p>
          <w:p w14:paraId="640684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a.在电子投标文件中，涉及“全称”和“投标人代表签字”的内容可使用打字录入方式完成。</w:t>
            </w:r>
          </w:p>
          <w:p w14:paraId="636F43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b.在电子投标文件中，涉及“加盖单位公章”的内容应使用投标人的CA证书完成，否则投标无效。</w:t>
            </w:r>
          </w:p>
          <w:p w14:paraId="59BAFC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c.在电子投标文件中，若投标人按照第b项规定加盖其单位公章，则出现无全称、或投标人代表未签字等情形，不视为投标无效。</w:t>
            </w:r>
          </w:p>
          <w:p w14:paraId="03DC35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cs="宋体"/>
                <w:color w:val="auto"/>
                <w:spacing w:val="0"/>
                <w:kern w:val="0"/>
                <w:sz w:val="24"/>
                <w:szCs w:val="24"/>
                <w:highlight w:val="none"/>
                <w:lang w:val="en-US" w:eastAsia="zh-CN"/>
              </w:rPr>
              <w:t>3</w:t>
            </w:r>
            <w:r>
              <w:rPr>
                <w:rFonts w:hint="eastAsia" w:ascii="宋体" w:hAnsi="宋体" w:eastAsia="宋体" w:cs="宋体"/>
                <w:color w:val="auto"/>
                <w:spacing w:val="0"/>
                <w:kern w:val="0"/>
                <w:sz w:val="24"/>
                <w:szCs w:val="24"/>
                <w:highlight w:val="none"/>
                <w:lang w:val="en-US" w:eastAsia="zh-CN"/>
              </w:rPr>
              <w:t>、关于投标截止时间过后</w:t>
            </w:r>
            <w:r>
              <w:rPr>
                <w:rFonts w:hint="eastAsia" w:ascii="宋体" w:hAnsi="宋体" w:cs="宋体"/>
                <w:color w:val="auto"/>
                <w:spacing w:val="0"/>
                <w:kern w:val="0"/>
                <w:sz w:val="24"/>
                <w:szCs w:val="24"/>
                <w:highlight w:val="none"/>
                <w:lang w:val="en-US" w:eastAsia="zh-CN"/>
              </w:rPr>
              <w:t>，</w:t>
            </w:r>
            <w:r>
              <w:rPr>
                <w:rFonts w:hint="eastAsia" w:ascii="宋体" w:hAnsi="宋体" w:eastAsia="宋体" w:cs="宋体"/>
                <w:color w:val="auto"/>
                <w:spacing w:val="0"/>
                <w:kern w:val="0"/>
                <w:sz w:val="24"/>
                <w:szCs w:val="24"/>
                <w:highlight w:val="none"/>
                <w:lang w:val="en-US" w:eastAsia="zh-CN"/>
              </w:rPr>
              <w:t>有下列情形之一的，其投标无效,其保证金不予退还：</w:t>
            </w:r>
          </w:p>
          <w:p w14:paraId="2258EF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a.不同投标人的电子投标文件具有相同内部识别码；</w:t>
            </w:r>
          </w:p>
          <w:p w14:paraId="2B64B4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b.投标人的投标保证金同一采购包下有其他投标人提交的投标保证金；</w:t>
            </w:r>
          </w:p>
          <w:p w14:paraId="11388A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kern w:val="0"/>
                <w:sz w:val="24"/>
                <w:szCs w:val="24"/>
                <w:highlight w:val="none"/>
                <w:lang w:val="en-US" w:eastAsia="zh-CN"/>
              </w:rPr>
              <w:t>c.不同投标人存在串通投标的其他情形。</w:t>
            </w:r>
          </w:p>
        </w:tc>
      </w:tr>
    </w:tbl>
    <w:p w14:paraId="45A8D970">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3D439E79">
      <w:pPr>
        <w:spacing w:line="360" w:lineRule="auto"/>
        <w:jc w:val="center"/>
        <w:rPr>
          <w:rFonts w:hint="eastAsia" w:ascii="宋体" w:hAnsi="宋体" w:eastAsia="宋体" w:cs="宋体"/>
          <w:b/>
          <w:bCs/>
          <w:color w:val="auto"/>
          <w:sz w:val="24"/>
          <w:szCs w:val="24"/>
          <w:highlight w:val="none"/>
          <w:u w:val="single"/>
        </w:rPr>
      </w:pPr>
    </w:p>
    <w:p w14:paraId="77DE44D6">
      <w:pPr>
        <w:spacing w:line="360" w:lineRule="auto"/>
        <w:jc w:val="center"/>
        <w:rPr>
          <w:rFonts w:hint="eastAsia" w:ascii="宋体" w:hAnsi="宋体" w:eastAsia="宋体" w:cs="宋体"/>
          <w:b/>
          <w:bCs/>
          <w:color w:val="auto"/>
          <w:sz w:val="24"/>
          <w:szCs w:val="24"/>
          <w:highlight w:val="none"/>
          <w:u w:val="single"/>
        </w:rPr>
      </w:pPr>
    </w:p>
    <w:p w14:paraId="041541E9">
      <w:pPr>
        <w:spacing w:line="360" w:lineRule="auto"/>
        <w:jc w:val="center"/>
        <w:rPr>
          <w:rFonts w:hint="eastAsia" w:ascii="宋体" w:hAnsi="宋体" w:eastAsia="宋体" w:cs="宋体"/>
          <w:b/>
          <w:bCs/>
          <w:color w:val="auto"/>
          <w:sz w:val="24"/>
          <w:szCs w:val="24"/>
          <w:highlight w:val="none"/>
          <w:u w:val="single"/>
        </w:rPr>
      </w:pPr>
    </w:p>
    <w:p w14:paraId="36356F18">
      <w:pPr>
        <w:spacing w:line="360" w:lineRule="auto"/>
        <w:jc w:val="center"/>
        <w:rPr>
          <w:rFonts w:hint="eastAsia" w:ascii="宋体" w:hAnsi="宋体" w:eastAsia="宋体" w:cs="宋体"/>
          <w:b/>
          <w:bCs/>
          <w:color w:val="auto"/>
          <w:sz w:val="24"/>
          <w:szCs w:val="24"/>
          <w:highlight w:val="none"/>
          <w:u w:val="single"/>
        </w:rPr>
      </w:pPr>
    </w:p>
    <w:p w14:paraId="73B7EF68">
      <w:pPr>
        <w:spacing w:line="360" w:lineRule="auto"/>
        <w:jc w:val="center"/>
        <w:rPr>
          <w:rFonts w:hint="eastAsia" w:ascii="宋体" w:hAnsi="宋体" w:eastAsia="宋体" w:cs="宋体"/>
          <w:b/>
          <w:bCs/>
          <w:color w:val="auto"/>
          <w:sz w:val="24"/>
          <w:szCs w:val="24"/>
          <w:highlight w:val="none"/>
          <w:u w:val="single"/>
        </w:rPr>
      </w:pPr>
    </w:p>
    <w:p w14:paraId="7BB99E86">
      <w:pPr>
        <w:spacing w:line="360" w:lineRule="auto"/>
        <w:jc w:val="center"/>
        <w:rPr>
          <w:rFonts w:hint="eastAsia" w:ascii="宋体" w:hAnsi="宋体" w:eastAsia="宋体" w:cs="宋体"/>
          <w:b/>
          <w:bCs/>
          <w:color w:val="auto"/>
          <w:sz w:val="24"/>
          <w:szCs w:val="24"/>
          <w:highlight w:val="none"/>
          <w:u w:val="single"/>
        </w:rPr>
      </w:pPr>
    </w:p>
    <w:p w14:paraId="2D61FB20">
      <w:pPr>
        <w:spacing w:line="360" w:lineRule="auto"/>
        <w:jc w:val="center"/>
        <w:rPr>
          <w:rFonts w:hint="eastAsia" w:ascii="宋体" w:hAnsi="宋体" w:eastAsia="宋体" w:cs="宋体"/>
          <w:b/>
          <w:bCs/>
          <w:color w:val="auto"/>
          <w:sz w:val="32"/>
          <w:szCs w:val="32"/>
          <w:highlight w:val="none"/>
          <w:u w:val="single"/>
        </w:rPr>
      </w:pPr>
    </w:p>
    <w:p w14:paraId="2ABC6B92">
      <w:pPr>
        <w:spacing w:line="360" w:lineRule="auto"/>
        <w:jc w:val="center"/>
        <w:rPr>
          <w:rFonts w:hint="eastAsia" w:ascii="宋体" w:hAnsi="宋体" w:eastAsia="宋体" w:cs="宋体"/>
          <w:b/>
          <w:bCs/>
          <w:color w:val="auto"/>
          <w:sz w:val="32"/>
          <w:szCs w:val="32"/>
          <w:highlight w:val="none"/>
          <w:u w:val="single"/>
        </w:rPr>
      </w:pPr>
    </w:p>
    <w:p w14:paraId="66DCB66F">
      <w:pPr>
        <w:spacing w:line="360" w:lineRule="auto"/>
        <w:ind w:firstLine="1285" w:firstLineChars="400"/>
        <w:jc w:val="both"/>
        <w:rPr>
          <w:rFonts w:hint="eastAsia" w:ascii="宋体" w:hAnsi="宋体" w:eastAsia="宋体" w:cs="宋体"/>
          <w:b/>
          <w:bCs/>
          <w:color w:val="auto"/>
          <w:sz w:val="32"/>
          <w:szCs w:val="32"/>
          <w:highlight w:val="none"/>
          <w:u w:val="single"/>
        </w:rPr>
      </w:pPr>
    </w:p>
    <w:p w14:paraId="3DDECB72">
      <w:pPr>
        <w:spacing w:line="360" w:lineRule="auto"/>
        <w:ind w:firstLine="1285" w:firstLineChars="400"/>
        <w:jc w:val="both"/>
        <w:rPr>
          <w:rFonts w:hint="eastAsia" w:ascii="宋体" w:hAnsi="宋体" w:eastAsia="宋体" w:cs="宋体"/>
          <w:b/>
          <w:bCs/>
          <w:color w:val="auto"/>
          <w:sz w:val="32"/>
          <w:szCs w:val="32"/>
          <w:highlight w:val="none"/>
          <w:u w:val="single"/>
        </w:rPr>
      </w:pPr>
    </w:p>
    <w:p w14:paraId="553137AB">
      <w:pPr>
        <w:spacing w:line="360" w:lineRule="auto"/>
        <w:ind w:firstLine="1285" w:firstLineChars="400"/>
        <w:jc w:val="both"/>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w:t>
      </w:r>
      <w:r>
        <w:rPr>
          <w:rFonts w:hint="default" w:ascii="宋体" w:hAnsi="宋体" w:cs="宋体"/>
          <w:b/>
          <w:bCs/>
          <w:color w:val="auto"/>
          <w:sz w:val="32"/>
          <w:szCs w:val="32"/>
          <w:highlight w:val="none"/>
          <w:u w:val="single"/>
        </w:rPr>
        <w:t>：</w:t>
      </w:r>
      <w:r>
        <w:rPr>
          <w:rFonts w:hint="eastAsia" w:ascii="宋体" w:hAnsi="宋体" w:eastAsia="宋体" w:cs="宋体"/>
          <w:b/>
          <w:bCs/>
          <w:color w:val="auto"/>
          <w:sz w:val="32"/>
          <w:szCs w:val="32"/>
          <w:highlight w:val="none"/>
          <w:u w:val="single"/>
        </w:rPr>
        <w:t>资格性、符合性检查表</w:t>
      </w:r>
    </w:p>
    <w:p w14:paraId="75EB1ECD">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1"/>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14:paraId="1426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39" w:type="dxa"/>
            <w:gridSpan w:val="4"/>
            <w:noWrap w:val="0"/>
            <w:vAlign w:val="top"/>
          </w:tcPr>
          <w:p w14:paraId="33EBF6D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14:paraId="5B574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4EBEA8FA">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w:t>
            </w:r>
          </w:p>
          <w:p w14:paraId="6734F6E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号</w:t>
            </w:r>
          </w:p>
        </w:tc>
        <w:tc>
          <w:tcPr>
            <w:tcW w:w="696" w:type="dxa"/>
            <w:tcBorders>
              <w:bottom w:val="single" w:color="auto" w:sz="4" w:space="0"/>
            </w:tcBorders>
            <w:noWrap w:val="0"/>
            <w:vAlign w:val="center"/>
          </w:tcPr>
          <w:p w14:paraId="3A32C140">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1422" w:type="dxa"/>
            <w:tcBorders>
              <w:bottom w:val="single" w:color="auto" w:sz="4" w:space="0"/>
            </w:tcBorders>
            <w:noWrap w:val="0"/>
            <w:vAlign w:val="center"/>
          </w:tcPr>
          <w:p w14:paraId="49E9951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5925" w:type="dxa"/>
            <w:tcBorders>
              <w:bottom w:val="single" w:color="auto" w:sz="4" w:space="0"/>
            </w:tcBorders>
            <w:noWrap w:val="0"/>
            <w:vAlign w:val="center"/>
          </w:tcPr>
          <w:p w14:paraId="4C940AF3">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14:paraId="4B55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DAAEF3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9A83BF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6D445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91A01D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14:paraId="3E47EED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14:paraId="3AEF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2C1F41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5FF19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150D2D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BF1130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55978E9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14:paraId="3EBAB889">
            <w:pPr>
              <w:keepNext w:val="0"/>
              <w:keepLines w:val="0"/>
              <w:suppressLineNumbers w:val="0"/>
              <w:spacing w:before="0" w:beforeAutospacing="0" w:after="0" w:afterAutospacing="0" w:line="360" w:lineRule="auto"/>
              <w:ind w:left="0" w:right="0" w:firstLine="319" w:firstLineChars="13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409D96DD">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64845BA1">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0B04848B">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（3）</w:t>
            </w:r>
            <w:r>
              <w:rPr>
                <w:rFonts w:hint="eastAsia" w:ascii="宋体" w:hAnsi="宋体" w:eastAsia="宋体" w:cs="宋体"/>
                <w:color w:val="auto"/>
                <w:sz w:val="24"/>
                <w:szCs w:val="24"/>
                <w:highlight w:val="none"/>
                <w:lang w:val="en-US" w:eastAsia="zh-CN"/>
              </w:rPr>
              <w:t>按要求提供</w:t>
            </w:r>
            <w:r>
              <w:rPr>
                <w:rFonts w:hint="eastAsia" w:ascii="宋体" w:hAnsi="宋体" w:cs="宋体"/>
                <w:color w:val="auto"/>
                <w:sz w:val="24"/>
                <w:szCs w:val="24"/>
                <w:highlight w:val="none"/>
                <w:lang w:val="en-US" w:eastAsia="zh-CN"/>
              </w:rPr>
              <w:t>福建省</w:t>
            </w:r>
            <w:r>
              <w:rPr>
                <w:rFonts w:hint="eastAsia" w:ascii="宋体" w:hAnsi="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tc>
      </w:tr>
      <w:tr w14:paraId="3558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AC4D0F8">
            <w:pPr>
              <w:keepNext w:val="0"/>
              <w:keepLines w:val="0"/>
              <w:suppressLineNumbers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66B45B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EBE558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B3FDA5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7783ABD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64187C6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62095E6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4CE2F2AF">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14:paraId="40A67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8F59C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8F9BB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C38E08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2350CA2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30A70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CE629E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92B7EE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364677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FCA57D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14:paraId="5D1DE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74B69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31376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02625D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756061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7EAEA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4F3B9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CA8C21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E9810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EF5E2A5">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w:t>
            </w:r>
            <w:r>
              <w:rPr>
                <w:rFonts w:hint="eastAsia" w:ascii="宋体" w:hAnsi="宋体" w:cs="宋体"/>
                <w:color w:val="auto"/>
                <w:sz w:val="24"/>
                <w:szCs w:val="24"/>
                <w:highlight w:val="none"/>
                <w:lang w:eastAsia="zh-CN"/>
              </w:rPr>
              <w:t>信用中国(福建厦门)（credit.xm.gov.cn）</w:t>
            </w:r>
            <w:r>
              <w:rPr>
                <w:rFonts w:hint="eastAsia" w:ascii="宋体" w:hAnsi="宋体" w:eastAsia="宋体" w:cs="宋体"/>
                <w:color w:val="auto"/>
                <w:sz w:val="24"/>
                <w:szCs w:val="24"/>
                <w:highlight w:val="none"/>
              </w:rPr>
              <w:t>查询并打印投标人信用记录（以下简称：“资格审查小组的查询结果”）。②</w:t>
            </w:r>
            <w:r>
              <w:rPr>
                <w:rStyle w:val="13"/>
                <w:rFonts w:hint="eastAsia" w:ascii="宋体" w:hAnsi="宋体" w:eastAsia="宋体" w:cs="宋体"/>
                <w:color w:val="auto"/>
                <w:spacing w:val="0"/>
                <w:kern w:val="2"/>
                <w:sz w:val="24"/>
                <w:szCs w:val="24"/>
                <w:highlight w:val="none"/>
                <w:lang w:val="en-US" w:eastAsia="zh-CN"/>
              </w:rPr>
              <w:t>经查询，投标人</w:t>
            </w:r>
            <w:r>
              <w:rPr>
                <w:rFonts w:hint="eastAsia" w:ascii="宋体" w:hAnsi="宋体" w:eastAsia="宋体" w:cs="宋体"/>
                <w:color w:val="auto"/>
                <w:sz w:val="24"/>
                <w:szCs w:val="24"/>
                <w:highlight w:val="none"/>
              </w:rPr>
              <w:t>（包括联合体各方，联合体成员存在不良记录的，视同联合体存在不良信用记录，认定联合体资格审查不合格）</w:t>
            </w:r>
            <w:r>
              <w:rPr>
                <w:rStyle w:val="13"/>
                <w:rFonts w:hint="eastAsia" w:ascii="宋体" w:hAnsi="宋体" w:eastAsia="宋体" w:cs="宋体"/>
                <w:color w:val="auto"/>
                <w:spacing w:val="0"/>
                <w:kern w:val="2"/>
                <w:sz w:val="24"/>
                <w:szCs w:val="24"/>
                <w:highlight w:val="none"/>
                <w:lang w:val="en-US" w:eastAsia="zh-CN"/>
              </w:rPr>
              <w:t>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79FD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E10B34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top"/>
          </w:tcPr>
          <w:p w14:paraId="6F1B8B4F">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667C1F5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2222E6E3">
            <w:pPr>
              <w:keepNext w:val="0"/>
              <w:keepLines w:val="0"/>
              <w:suppressLineNumbers w:val="0"/>
              <w:snapToGrid w:val="0"/>
              <w:spacing w:before="0" w:beforeAutospacing="0" w:after="0" w:afterAutospacing="0" w:line="360" w:lineRule="auto"/>
              <w:ind w:left="0" w:right="0" w:firstLine="590" w:firstLineChars="245"/>
              <w:rPr>
                <w:rFonts w:hint="default" w:ascii="宋体" w:hAnsi="宋体" w:eastAsia="宋体" w:cs="宋体"/>
                <w:color w:val="auto"/>
                <w:sz w:val="24"/>
                <w:szCs w:val="24"/>
                <w:highlight w:val="none"/>
                <w:lang w:val="en-US"/>
              </w:rPr>
            </w:pPr>
            <w:r>
              <w:rPr>
                <w:rFonts w:hint="eastAsia" w:ascii="宋体" w:hAnsi="宋体"/>
                <w:b/>
                <w:color w:val="auto"/>
                <w:sz w:val="24"/>
                <w:szCs w:val="24"/>
                <w:highlight w:val="none"/>
              </w:rPr>
              <w:t>*1.投标人应提供工商营业执照（副本）（加盖公章）的复印件。</w:t>
            </w:r>
          </w:p>
        </w:tc>
      </w:tr>
      <w:tr w14:paraId="16181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241999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696" w:type="dxa"/>
            <w:tcBorders>
              <w:top w:val="single" w:color="auto" w:sz="4" w:space="0"/>
              <w:left w:val="single" w:color="auto" w:sz="4" w:space="0"/>
              <w:bottom w:val="single" w:color="auto" w:sz="4" w:space="0"/>
              <w:right w:val="single" w:color="auto" w:sz="4" w:space="0"/>
            </w:tcBorders>
            <w:noWrap w:val="0"/>
            <w:vAlign w:val="top"/>
          </w:tcPr>
          <w:p w14:paraId="52C39F84">
            <w:pPr>
              <w:keepNext w:val="0"/>
              <w:keepLines w:val="0"/>
              <w:suppressLineNumbers w:val="0"/>
              <w:spacing w:before="0" w:beforeAutospacing="0" w:after="0" w:afterAutospacing="0" w:line="360" w:lineRule="auto"/>
              <w:ind w:left="0" w:right="0"/>
              <w:jc w:val="center"/>
              <w:rPr>
                <w:rFonts w:hint="eastAsia" w:ascii="宋体" w:hAnsi="宋体" w:cs="宋体"/>
                <w:color w:val="auto"/>
                <w:sz w:val="24"/>
                <w:szCs w:val="24"/>
                <w:highlight w:val="none"/>
                <w:lang w:val="en-US" w:eastAsia="zh-CN"/>
              </w:rPr>
            </w:pPr>
          </w:p>
        </w:tc>
        <w:tc>
          <w:tcPr>
            <w:tcW w:w="1422" w:type="dxa"/>
            <w:tcBorders>
              <w:top w:val="single" w:color="auto" w:sz="4" w:space="0"/>
              <w:left w:val="single" w:color="auto" w:sz="4" w:space="0"/>
              <w:bottom w:val="single" w:color="auto" w:sz="4" w:space="0"/>
              <w:right w:val="single" w:color="auto" w:sz="4" w:space="0"/>
            </w:tcBorders>
            <w:noWrap w:val="0"/>
            <w:vAlign w:val="top"/>
          </w:tcPr>
          <w:p w14:paraId="6D2C85C8">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08B3FD27">
            <w:pPr>
              <w:pStyle w:val="9"/>
              <w:keepNext w:val="0"/>
              <w:keepLines w:val="0"/>
              <w:suppressLineNumbers w:val="0"/>
              <w:shd w:val="clear" w:color="auto" w:fill="FFFFFF"/>
              <w:spacing w:before="0" w:beforeAutospacing="0" w:after="0" w:afterAutospacing="0" w:line="360" w:lineRule="auto"/>
              <w:ind w:left="0" w:right="0" w:firstLine="470" w:firstLineChars="195"/>
              <w:rPr>
                <w:rFonts w:hint="default" w:ascii="宋体" w:hAnsi="宋体" w:eastAsia="宋体" w:cs="宋体"/>
                <w:color w:val="auto"/>
                <w:sz w:val="24"/>
                <w:szCs w:val="24"/>
                <w:highlight w:val="none"/>
                <w:lang w:val="en-US"/>
              </w:rPr>
            </w:pPr>
            <w:r>
              <w:rPr>
                <w:rFonts w:hint="eastAsia"/>
                <w:b/>
                <w:color w:val="auto"/>
                <w:highlight w:val="none"/>
              </w:rPr>
              <w:t>*2.投标人全权代表若不是单位负责人，应提供单位授权书原件，并提供被授权代表身份证复印件。</w:t>
            </w:r>
          </w:p>
        </w:tc>
      </w:tr>
      <w:tr w14:paraId="639E7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5A48C18">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696" w:type="dxa"/>
            <w:tcBorders>
              <w:top w:val="single" w:color="auto" w:sz="4" w:space="0"/>
              <w:left w:val="single" w:color="auto" w:sz="4" w:space="0"/>
              <w:bottom w:val="single" w:color="auto" w:sz="4" w:space="0"/>
              <w:right w:val="single" w:color="auto" w:sz="4" w:space="0"/>
            </w:tcBorders>
            <w:noWrap w:val="0"/>
            <w:vAlign w:val="top"/>
          </w:tcPr>
          <w:p w14:paraId="3DC6F17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top"/>
          </w:tcPr>
          <w:p w14:paraId="084822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4D3D3024">
            <w:pPr>
              <w:pStyle w:val="9"/>
              <w:keepNext w:val="0"/>
              <w:keepLines w:val="0"/>
              <w:suppressLineNumbers w:val="0"/>
              <w:shd w:val="clear" w:color="auto" w:fill="FFFFFF"/>
              <w:spacing w:before="0" w:beforeAutospacing="0" w:after="0" w:afterAutospacing="0" w:line="360" w:lineRule="auto"/>
              <w:ind w:left="0" w:right="0" w:firstLine="470" w:firstLineChars="195"/>
              <w:rPr>
                <w:rFonts w:hint="eastAsia" w:ascii="宋体" w:hAnsi="宋体" w:eastAsia="宋体" w:cs="宋体"/>
                <w:color w:val="auto"/>
                <w:sz w:val="24"/>
                <w:szCs w:val="24"/>
                <w:highlight w:val="none"/>
              </w:rPr>
            </w:pPr>
            <w:r>
              <w:rPr>
                <w:rFonts w:hint="eastAsia"/>
                <w:b/>
                <w:color w:val="auto"/>
                <w:highlight w:val="none"/>
              </w:rPr>
              <w:t>*3、</w:t>
            </w:r>
            <w:r>
              <w:rPr>
                <w:rFonts w:hint="default"/>
                <w:b/>
                <w:color w:val="auto"/>
                <w:highlight w:val="none"/>
              </w:rPr>
              <w:t>本项目专门面向</w:t>
            </w:r>
            <w:r>
              <w:rPr>
                <w:rFonts w:hint="eastAsia"/>
                <w:b/>
                <w:color w:val="auto"/>
                <w:highlight w:val="none"/>
                <w:lang w:val="en-US" w:eastAsia="zh-CN"/>
              </w:rPr>
              <w:t>中小</w:t>
            </w:r>
            <w:r>
              <w:rPr>
                <w:rFonts w:hint="default"/>
                <w:b/>
                <w:color w:val="auto"/>
                <w:highlight w:val="none"/>
              </w:rPr>
              <w:t>企业采购，所投所有采购标的均为</w:t>
            </w:r>
            <w:r>
              <w:rPr>
                <w:rFonts w:hint="eastAsia"/>
                <w:b/>
                <w:color w:val="auto"/>
                <w:highlight w:val="none"/>
                <w:lang w:val="en-US" w:eastAsia="zh-CN"/>
              </w:rPr>
              <w:t>中小</w:t>
            </w:r>
            <w:r>
              <w:rPr>
                <w:rFonts w:hint="eastAsia"/>
                <w:b/>
                <w:color w:val="auto"/>
                <w:highlight w:val="none"/>
              </w:rPr>
              <w:t>型</w:t>
            </w:r>
            <w:r>
              <w:rPr>
                <w:rFonts w:hint="default"/>
                <w:b/>
                <w:color w:val="auto"/>
                <w:highlight w:val="none"/>
              </w:rPr>
              <w:t>企业制造，须提供声明函，且本项目不再执行价格评审优惠的扶持政策。本项目对应的</w:t>
            </w:r>
            <w:r>
              <w:rPr>
                <w:rFonts w:hint="eastAsia"/>
                <w:b/>
                <w:color w:val="auto"/>
                <w:highlight w:val="none"/>
                <w:lang w:val="en-US" w:eastAsia="zh-CN"/>
              </w:rPr>
              <w:t>中小</w:t>
            </w:r>
            <w:r>
              <w:rPr>
                <w:rFonts w:hint="eastAsia"/>
                <w:b/>
                <w:color w:val="auto"/>
                <w:highlight w:val="none"/>
              </w:rPr>
              <w:t>型</w:t>
            </w:r>
            <w:r>
              <w:rPr>
                <w:rFonts w:hint="default"/>
                <w:b/>
                <w:color w:val="auto"/>
                <w:highlight w:val="none"/>
              </w:rPr>
              <w:t>企业划分标准所属</w:t>
            </w:r>
            <w:r>
              <w:rPr>
                <w:rFonts w:hint="eastAsia"/>
                <w:b/>
                <w:color w:val="auto"/>
                <w:highlight w:val="none"/>
              </w:rPr>
              <w:t>工业行业。</w:t>
            </w:r>
          </w:p>
        </w:tc>
      </w:tr>
      <w:tr w14:paraId="59FF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noWrap w:val="0"/>
            <w:vAlign w:val="center"/>
          </w:tcPr>
          <w:p w14:paraId="3968CB31">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符合性要求</w:t>
            </w:r>
          </w:p>
        </w:tc>
      </w:tr>
      <w:tr w14:paraId="7F104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B4E193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B2ECA5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5440B7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3095428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6A91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EEB92C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0A80E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585AE6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247BB62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14:paraId="55D89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6D7783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B1E41D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63A7E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99C7BA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66A14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60876D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1507D9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E6C31D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2300C84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394EA8F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0B1A808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206D51E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14:paraId="18D22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F3DFB0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D8C0D3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037D3A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BF1071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14FE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5E86E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0FF8A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EC476D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238C61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6F087EB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19AFB8A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9EA418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1A8A66C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2A41222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5AA98E4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73D6964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146D597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865EB1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12C67EE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B09791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3CEE369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77DB4AD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0BBDED8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4E5A95F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14:paraId="4C63C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1DF6F3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4711A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A51C94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5386161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tc>
      </w:tr>
      <w:tr w14:paraId="7CEE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C3B88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511BF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276C7B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1CF7A2A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13FC4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A11C14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04AAF0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C921DC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39ABB568">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55FA2F9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57ADD6B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4D8B000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178A0F6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85C1A7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1203384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52BFF86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B5689D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5DCC04F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274B712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2054896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3796061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tc>
      </w:tr>
      <w:tr w14:paraId="1446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608327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F6278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D8E8C1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C53958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个日历日。有效期不足将导致其投标文件被拒绝。</w:t>
            </w:r>
          </w:p>
        </w:tc>
      </w:tr>
      <w:tr w14:paraId="3B68F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C7F2E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F24D2B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8B4E35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BF1974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12.5未按要求缴交投标保证金的投标，将被视为无效投标。</w:t>
            </w:r>
          </w:p>
        </w:tc>
      </w:tr>
      <w:tr w14:paraId="4A589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CA01D8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A8441B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EE212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2ED51F5D">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tc>
      </w:tr>
      <w:tr w14:paraId="2EB0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597761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8988DA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DD11E3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45E13E9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tc>
      </w:tr>
      <w:tr w14:paraId="7EE19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A8EFA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6BF027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49E487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4BEC4028">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6414A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6278B3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9381AA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B781B34">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513EA42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6B2A1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EBEF88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8CEA1D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5FDFA3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2AC5926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14:paraId="75020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980DE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7349B2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1416C9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55314D3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0DD404F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3653EF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43633EA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797B389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2B7AC86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295C586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0A3CEA4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4470F81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14:paraId="7199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BDB37D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1BB0BA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ABD6E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4EFB6EB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14:paraId="7C73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85807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D83317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7D1437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B66057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tc>
      </w:tr>
      <w:tr w14:paraId="19576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noWrap w:val="0"/>
            <w:vAlign w:val="center"/>
          </w:tcPr>
          <w:p w14:paraId="76F2706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96" w:type="dxa"/>
            <w:tcBorders>
              <w:top w:val="single" w:color="auto" w:sz="4" w:space="0"/>
            </w:tcBorders>
            <w:noWrap w:val="0"/>
            <w:vAlign w:val="center"/>
          </w:tcPr>
          <w:p w14:paraId="76D3914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tcBorders>
            <w:noWrap w:val="0"/>
            <w:vAlign w:val="center"/>
          </w:tcPr>
          <w:p w14:paraId="0167B10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17.3.5</w:t>
            </w:r>
          </w:p>
        </w:tc>
        <w:tc>
          <w:tcPr>
            <w:tcW w:w="5925" w:type="dxa"/>
            <w:tcBorders>
              <w:top w:val="single" w:color="auto" w:sz="4" w:space="0"/>
            </w:tcBorders>
            <w:noWrap w:val="0"/>
            <w:vAlign w:val="center"/>
          </w:tcPr>
          <w:p w14:paraId="72FAA6DC">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240696F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632B6E6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69D918A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335CB36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7534D6B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770D3CA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tc>
      </w:tr>
      <w:tr w14:paraId="1FC5F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79D85CB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696" w:type="dxa"/>
            <w:noWrap w:val="0"/>
            <w:vAlign w:val="center"/>
          </w:tcPr>
          <w:p w14:paraId="275D5F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01C5CA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w:t>
            </w:r>
          </w:p>
        </w:tc>
        <w:tc>
          <w:tcPr>
            <w:tcW w:w="5925" w:type="dxa"/>
            <w:noWrap w:val="0"/>
            <w:vAlign w:val="center"/>
          </w:tcPr>
          <w:p w14:paraId="4C247E2C">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14:paraId="7BDD0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5ACD757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96" w:type="dxa"/>
            <w:noWrap w:val="0"/>
            <w:vAlign w:val="center"/>
          </w:tcPr>
          <w:p w14:paraId="14D1F58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03712AF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5925" w:type="dxa"/>
            <w:noWrap w:val="0"/>
            <w:vAlign w:val="center"/>
          </w:tcPr>
          <w:p w14:paraId="0ED8C53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6B5BC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0B2CE12D">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696" w:type="dxa"/>
            <w:noWrap w:val="0"/>
            <w:vAlign w:val="center"/>
          </w:tcPr>
          <w:p w14:paraId="1A8FCED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1422" w:type="dxa"/>
            <w:noWrap w:val="0"/>
            <w:vAlign w:val="center"/>
          </w:tcPr>
          <w:p w14:paraId="11517B5A">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5925" w:type="dxa"/>
            <w:noWrap w:val="0"/>
            <w:vAlign w:val="center"/>
          </w:tcPr>
          <w:p w14:paraId="1B46F17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p>
        </w:tc>
      </w:tr>
      <w:tr w14:paraId="117B9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F4E9DA0">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696" w:type="dxa"/>
            <w:noWrap w:val="0"/>
            <w:vAlign w:val="center"/>
          </w:tcPr>
          <w:p w14:paraId="29EB057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1E1C805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3B1C49B7">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14:paraId="0D687BBA">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14:paraId="7EF534E3">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②在投标文件中提供各方盖章签署的共同投标协议扫描件。</w:t>
            </w:r>
          </w:p>
        </w:tc>
      </w:tr>
      <w:tr w14:paraId="248F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2D8E327">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696" w:type="dxa"/>
            <w:noWrap w:val="0"/>
            <w:vAlign w:val="center"/>
          </w:tcPr>
          <w:p w14:paraId="76423FE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68BD175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7C18387F">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lang w:eastAsia="zh-CN"/>
              </w:rPr>
              <w:t>采购单位</w:t>
            </w:r>
            <w:r>
              <w:rPr>
                <w:rFonts w:hint="eastAsia" w:ascii="宋体" w:hAnsi="宋体" w:cs="宋体"/>
                <w:bCs/>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14:paraId="260C3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0071C42">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696" w:type="dxa"/>
            <w:noWrap w:val="0"/>
            <w:vAlign w:val="center"/>
          </w:tcPr>
          <w:p w14:paraId="71602774">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1422" w:type="dxa"/>
            <w:noWrap w:val="0"/>
            <w:vAlign w:val="center"/>
          </w:tcPr>
          <w:p w14:paraId="586D8E18">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5C64C18D">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14:paraId="43D08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778E0B4E">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696" w:type="dxa"/>
            <w:noWrap w:val="0"/>
            <w:vAlign w:val="center"/>
          </w:tcPr>
          <w:p w14:paraId="481041F6">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7349260A">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6F2E3476">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14:paraId="123FF088">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14:paraId="72876B0E">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14:paraId="5742226F">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14:paraId="0332D46A">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14:paraId="21E21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1C2E1593">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696" w:type="dxa"/>
            <w:noWrap w:val="0"/>
            <w:vAlign w:val="center"/>
          </w:tcPr>
          <w:p w14:paraId="0022B5BD">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36EC2A3D">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100AFF25">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cs="宋体"/>
                <w:bCs/>
                <w:color w:val="auto"/>
                <w:sz w:val="24"/>
                <w:szCs w:val="24"/>
                <w:highlight w:val="none"/>
                <w:lang w:eastAsia="zh-CN"/>
              </w:rPr>
              <w:t>全免</w:t>
            </w:r>
            <w:r>
              <w:rPr>
                <w:rFonts w:hint="eastAsia" w:ascii="宋体" w:hAnsi="宋体" w:eastAsia="宋体" w:cs="宋体"/>
                <w:bCs/>
                <w:color w:val="auto"/>
                <w:sz w:val="24"/>
                <w:szCs w:val="24"/>
                <w:highlight w:val="none"/>
              </w:rPr>
              <w:t>交纳投标保证金的投标人未按照招标文件格式要求在投标文件中提供《中小企业声明函》的，其投标作无效投标处理。</w:t>
            </w:r>
          </w:p>
        </w:tc>
      </w:tr>
      <w:tr w14:paraId="3327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72834778">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696" w:type="dxa"/>
            <w:tcBorders>
              <w:bottom w:val="single" w:color="auto" w:sz="4" w:space="0"/>
            </w:tcBorders>
            <w:noWrap w:val="0"/>
            <w:vAlign w:val="center"/>
          </w:tcPr>
          <w:p w14:paraId="013F5E78">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7ED3589A">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44F178EF">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4A15A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59BD098D">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696" w:type="dxa"/>
            <w:tcBorders>
              <w:bottom w:val="single" w:color="auto" w:sz="4" w:space="0"/>
            </w:tcBorders>
            <w:noWrap w:val="0"/>
            <w:vAlign w:val="center"/>
          </w:tcPr>
          <w:p w14:paraId="52E3A984">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61AA1038">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0866D89C">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14:paraId="18954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4237D43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696" w:type="dxa"/>
            <w:tcBorders>
              <w:bottom w:val="single" w:color="auto" w:sz="4" w:space="0"/>
            </w:tcBorders>
            <w:noWrap w:val="0"/>
            <w:vAlign w:val="center"/>
          </w:tcPr>
          <w:p w14:paraId="326F11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7016CD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301556A8">
            <w:pPr>
              <w:pStyle w:val="16"/>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hAnsi="宋体" w:eastAsia="宋体" w:cs="宋体"/>
                <w:color w:val="auto"/>
                <w:highlight w:val="none"/>
                <w:lang w:val="en-US" w:eastAsia="zh-CN"/>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tc>
      </w:tr>
      <w:tr w14:paraId="0878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4DC0EFC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696" w:type="dxa"/>
            <w:tcBorders>
              <w:bottom w:val="single" w:color="auto" w:sz="4" w:space="0"/>
            </w:tcBorders>
            <w:noWrap w:val="0"/>
            <w:vAlign w:val="center"/>
          </w:tcPr>
          <w:p w14:paraId="3E6831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14FE2B1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3F10D43F">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Times New Roman"/>
                <w:b/>
                <w:bCs/>
                <w:i w:val="0"/>
                <w:iCs w:val="0"/>
                <w:caps w:val="0"/>
                <w:color w:val="auto"/>
                <w:spacing w:val="0"/>
                <w:sz w:val="24"/>
                <w:szCs w:val="24"/>
                <w:highlight w:val="none"/>
                <w:shd w:val="clear"/>
              </w:rPr>
              <w:t>*</w:t>
            </w:r>
            <w:r>
              <w:rPr>
                <w:rFonts w:hint="eastAsia" w:ascii="宋体" w:hAnsi="宋体" w:cs="Times New Roman"/>
                <w:b/>
                <w:bCs/>
                <w:i w:val="0"/>
                <w:iCs w:val="0"/>
                <w:caps w:val="0"/>
                <w:color w:val="auto"/>
                <w:spacing w:val="0"/>
                <w:sz w:val="24"/>
                <w:szCs w:val="24"/>
                <w:highlight w:val="none"/>
                <w:shd w:val="clear"/>
                <w:lang w:val="en-US" w:eastAsia="zh-CN"/>
              </w:rPr>
              <w:t>10</w:t>
            </w:r>
            <w:r>
              <w:rPr>
                <w:rFonts w:hint="eastAsia" w:ascii="宋体" w:hAnsi="宋体" w:eastAsia="宋体" w:cs="Times New Roman"/>
                <w:b/>
                <w:bCs/>
                <w:i w:val="0"/>
                <w:iCs w:val="0"/>
                <w:caps w:val="0"/>
                <w:color w:val="auto"/>
                <w:spacing w:val="0"/>
                <w:sz w:val="24"/>
                <w:szCs w:val="24"/>
                <w:highlight w:val="none"/>
                <w:shd w:val="clear"/>
              </w:rPr>
              <w:t>、投标人在递交投标文件时应</w:t>
            </w:r>
            <w:r>
              <w:rPr>
                <w:rFonts w:hint="eastAsia" w:ascii="宋体" w:hAnsi="宋体" w:cs="Times New Roman"/>
                <w:b/>
                <w:bCs/>
                <w:i w:val="0"/>
                <w:iCs w:val="0"/>
                <w:caps w:val="0"/>
                <w:color w:val="auto"/>
                <w:spacing w:val="0"/>
                <w:sz w:val="24"/>
                <w:szCs w:val="24"/>
                <w:highlight w:val="none"/>
                <w:shd w:val="clear"/>
                <w:lang w:val="en-US" w:eastAsia="zh-CN"/>
              </w:rPr>
              <w:t>按样品清单</w:t>
            </w:r>
            <w:r>
              <w:rPr>
                <w:rFonts w:hint="eastAsia" w:ascii="宋体" w:hAnsi="宋体" w:eastAsia="宋体" w:cs="Times New Roman"/>
                <w:b/>
                <w:bCs/>
                <w:i w:val="0"/>
                <w:iCs w:val="0"/>
                <w:caps w:val="0"/>
                <w:color w:val="auto"/>
                <w:spacing w:val="0"/>
                <w:sz w:val="24"/>
                <w:szCs w:val="24"/>
                <w:highlight w:val="none"/>
                <w:shd w:val="clear"/>
              </w:rPr>
              <w:t>提供样品，提供的样品不符合采购内容要求的结构、外观造型或提供样品不齐全的（不接受 3D 打印小样</w:t>
            </w:r>
            <w:r>
              <w:rPr>
                <w:rFonts w:hint="eastAsia" w:ascii="宋体" w:hAnsi="宋体" w:eastAsia="宋体" w:cs="Times New Roman"/>
                <w:b/>
                <w:bCs/>
                <w:i w:val="0"/>
                <w:iCs w:val="0"/>
                <w:caps w:val="0"/>
                <w:color w:val="auto"/>
                <w:spacing w:val="0"/>
                <w:sz w:val="24"/>
                <w:szCs w:val="24"/>
                <w:highlight w:val="none"/>
                <w:shd w:val="clear"/>
                <w:lang w:eastAsia="zh-CN"/>
              </w:rPr>
              <w:t>，样品</w:t>
            </w:r>
            <w:r>
              <w:rPr>
                <w:rFonts w:hint="eastAsia" w:ascii="宋体" w:hAnsi="宋体" w:eastAsia="宋体" w:cs="Times New Roman"/>
                <w:b/>
                <w:bCs/>
                <w:i w:val="0"/>
                <w:iCs w:val="0"/>
                <w:caps w:val="0"/>
                <w:color w:val="auto"/>
                <w:spacing w:val="0"/>
                <w:sz w:val="24"/>
                <w:szCs w:val="24"/>
                <w:highlight w:val="none"/>
                <w:shd w:val="clear"/>
              </w:rPr>
              <w:t>尺寸偏差均不超过±2mm除有明确尺寸偏离值外），按无效投标处理。</w:t>
            </w:r>
          </w:p>
        </w:tc>
      </w:tr>
      <w:tr w14:paraId="5C85F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735D663D">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696" w:type="dxa"/>
            <w:tcBorders>
              <w:bottom w:val="single" w:color="auto" w:sz="4" w:space="0"/>
            </w:tcBorders>
            <w:noWrap w:val="0"/>
            <w:vAlign w:val="center"/>
          </w:tcPr>
          <w:p w14:paraId="3455728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6C611A6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5853F0E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Times New Roman"/>
                <w:b/>
                <w:bCs/>
                <w:i w:val="0"/>
                <w:iCs w:val="0"/>
                <w:caps w:val="0"/>
                <w:color w:val="auto"/>
                <w:spacing w:val="0"/>
                <w:sz w:val="24"/>
                <w:szCs w:val="24"/>
                <w:highlight w:val="none"/>
                <w:shd w:val="clear"/>
              </w:rPr>
              <w:t>*</w:t>
            </w:r>
            <w:r>
              <w:rPr>
                <w:rFonts w:hint="eastAsia" w:ascii="宋体" w:hAnsi="宋体" w:cs="Times New Roman"/>
                <w:b/>
                <w:bCs/>
                <w:i w:val="0"/>
                <w:iCs w:val="0"/>
                <w:caps w:val="0"/>
                <w:color w:val="auto"/>
                <w:spacing w:val="0"/>
                <w:sz w:val="24"/>
                <w:szCs w:val="24"/>
                <w:highlight w:val="none"/>
                <w:shd w:val="clear"/>
                <w:lang w:val="en-US" w:eastAsia="zh-CN"/>
              </w:rPr>
              <w:t>11</w:t>
            </w:r>
            <w:r>
              <w:rPr>
                <w:rFonts w:hint="eastAsia" w:ascii="宋体" w:hAnsi="宋体" w:eastAsia="宋体" w:cs="Times New Roman"/>
                <w:b/>
                <w:bCs/>
                <w:i w:val="0"/>
                <w:iCs w:val="0"/>
                <w:caps w:val="0"/>
                <w:color w:val="auto"/>
                <w:spacing w:val="0"/>
                <w:sz w:val="24"/>
                <w:szCs w:val="24"/>
                <w:highlight w:val="none"/>
                <w:shd w:val="clear"/>
              </w:rPr>
              <w:t>、样品要求清单中带“*”的产品为必须满足的样品，投标人提供的样品不符合要求的结构、外观造型、或提供样品不齐全的，按无效投标处理</w:t>
            </w:r>
          </w:p>
        </w:tc>
      </w:tr>
      <w:tr w14:paraId="490C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6785DBE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696" w:type="dxa"/>
            <w:tcBorders>
              <w:bottom w:val="single" w:color="auto" w:sz="4" w:space="0"/>
            </w:tcBorders>
            <w:noWrap w:val="0"/>
            <w:vAlign w:val="center"/>
          </w:tcPr>
          <w:p w14:paraId="03AF318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068BEF2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04606575">
            <w:pPr>
              <w:keepNext w:val="0"/>
              <w:keepLines w:val="0"/>
              <w:widowControl/>
              <w:suppressLineNumbers w:val="0"/>
              <w:spacing w:before="0" w:beforeAutospacing="0" w:after="0" w:afterAutospacing="0" w:line="360" w:lineRule="auto"/>
              <w:ind w:left="0" w:right="0" w:firstLine="470" w:firstLineChars="0"/>
              <w:jc w:val="left"/>
              <w:rPr>
                <w:rFonts w:hint="eastAsia" w:ascii="宋体" w:hAnsi="宋体" w:eastAsia="宋体" w:cs="宋体"/>
                <w:color w:val="auto"/>
                <w:sz w:val="24"/>
                <w:szCs w:val="24"/>
                <w:highlight w:val="none"/>
              </w:rPr>
            </w:pP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12</w:t>
            </w:r>
            <w:r>
              <w:rPr>
                <w:rFonts w:hint="eastAsia" w:ascii="宋体" w:hAnsi="宋体"/>
                <w:b/>
                <w:bCs/>
                <w:color w:val="auto"/>
                <w:sz w:val="24"/>
                <w:szCs w:val="24"/>
                <w:highlight w:val="none"/>
              </w:rPr>
              <w:t>.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w:t>
            </w:r>
            <w:r>
              <w:rPr>
                <w:rFonts w:hint="eastAsia" w:ascii="宋体" w:hAnsi="宋体"/>
                <w:b/>
                <w:color w:val="auto"/>
                <w:sz w:val="24"/>
                <w:szCs w:val="24"/>
                <w:highlight w:val="none"/>
              </w:rPr>
              <w:t>送至</w:t>
            </w:r>
            <w:r>
              <w:rPr>
                <w:rFonts w:hint="eastAsia" w:ascii="宋体" w:hAnsi="宋体"/>
                <w:b/>
                <w:color w:val="auto"/>
                <w:sz w:val="24"/>
                <w:highlight w:val="none"/>
                <w:u w:val="single"/>
              </w:rPr>
              <w:t>厦门市湖里区云顶北路842号厦门市政务服务中心</w:t>
            </w:r>
            <w:r>
              <w:rPr>
                <w:rFonts w:hint="eastAsia" w:ascii="宋体" w:hAnsi="宋体"/>
                <w:b/>
                <w:color w:val="auto"/>
                <w:sz w:val="24"/>
                <w:highlight w:val="none"/>
                <w:u w:val="single"/>
                <w:lang w:eastAsia="zh-CN"/>
              </w:rPr>
              <w:t>负一楼</w:t>
            </w:r>
            <w:r>
              <w:rPr>
                <w:rFonts w:hint="eastAsia" w:ascii="宋体" w:hAnsi="宋体"/>
                <w:b/>
                <w:color w:val="auto"/>
                <w:sz w:val="24"/>
                <w:highlight w:val="none"/>
                <w:u w:val="single"/>
              </w:rPr>
              <w:t>样品间</w:t>
            </w:r>
            <w:r>
              <w:rPr>
                <w:rFonts w:hint="eastAsia" w:ascii="宋体" w:hAnsi="宋体"/>
                <w:b/>
                <w:color w:val="auto"/>
                <w:sz w:val="24"/>
                <w:szCs w:val="24"/>
                <w:highlight w:val="none"/>
              </w:rPr>
              <w:t>。</w:t>
            </w:r>
          </w:p>
        </w:tc>
      </w:tr>
      <w:tr w14:paraId="2B5B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13DC6D7D">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696" w:type="dxa"/>
            <w:tcBorders>
              <w:bottom w:val="single" w:color="auto" w:sz="4" w:space="0"/>
            </w:tcBorders>
            <w:noWrap w:val="0"/>
            <w:vAlign w:val="center"/>
          </w:tcPr>
          <w:p w14:paraId="6D736F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1A2219A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497237D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default" w:ascii="宋体" w:hAnsi="宋体"/>
                <w:b/>
                <w:color w:val="auto"/>
                <w:sz w:val="24"/>
                <w:szCs w:val="24"/>
                <w:highlight w:val="none"/>
              </w:rPr>
              <w:t>5</w:t>
            </w:r>
            <w:r>
              <w:rPr>
                <w:rFonts w:hint="eastAsia" w:ascii="宋体" w:hAnsi="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tc>
      </w:tr>
      <w:tr w14:paraId="25E4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7ABDD43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35</w:t>
            </w:r>
          </w:p>
        </w:tc>
        <w:tc>
          <w:tcPr>
            <w:tcW w:w="696" w:type="dxa"/>
            <w:tcBorders>
              <w:bottom w:val="single" w:color="auto" w:sz="4" w:space="0"/>
            </w:tcBorders>
            <w:noWrap w:val="0"/>
            <w:vAlign w:val="center"/>
          </w:tcPr>
          <w:p w14:paraId="39F03A8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4814D3E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7EA29BB0">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b/>
                <w:color w:val="auto"/>
                <w:sz w:val="24"/>
                <w:szCs w:val="24"/>
                <w:highlight w:val="none"/>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采购单位不接受有选择的报价。</w:t>
            </w:r>
          </w:p>
        </w:tc>
      </w:tr>
      <w:tr w14:paraId="3F9D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30309817">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36</w:t>
            </w:r>
          </w:p>
        </w:tc>
        <w:tc>
          <w:tcPr>
            <w:tcW w:w="696" w:type="dxa"/>
            <w:noWrap w:val="0"/>
            <w:vAlign w:val="top"/>
          </w:tcPr>
          <w:p w14:paraId="3D67C38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501351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3B61DCF3">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b/>
                <w:color w:val="auto"/>
                <w:sz w:val="24"/>
                <w:szCs w:val="24"/>
                <w:highlight w:val="none"/>
              </w:rPr>
              <w:t>*2.本项目设有</w:t>
            </w:r>
            <w:r>
              <w:rPr>
                <w:rFonts w:hint="default" w:ascii="宋体" w:hAnsi="宋体"/>
                <w:b/>
                <w:color w:val="auto"/>
                <w:sz w:val="24"/>
                <w:szCs w:val="24"/>
                <w:highlight w:val="none"/>
              </w:rPr>
              <w:t>采购</w:t>
            </w:r>
            <w:r>
              <w:rPr>
                <w:rFonts w:hint="eastAsia" w:ascii="宋体" w:hAnsi="宋体"/>
                <w:b/>
                <w:color w:val="auto"/>
                <w:sz w:val="24"/>
                <w:szCs w:val="24"/>
                <w:highlight w:val="none"/>
                <w:lang w:val="en-US" w:eastAsia="zh-CN"/>
              </w:rPr>
              <w:t>控制价</w:t>
            </w:r>
            <w:r>
              <w:rPr>
                <w:rFonts w:hint="eastAsia" w:ascii="宋体" w:hAnsi="宋体"/>
                <w:b/>
                <w:color w:val="auto"/>
                <w:sz w:val="24"/>
                <w:szCs w:val="24"/>
                <w:highlight w:val="none"/>
              </w:rPr>
              <w:t>为人民币</w:t>
            </w:r>
            <w:r>
              <w:rPr>
                <w:rFonts w:hint="eastAsia" w:ascii="宋体" w:hAnsi="宋体"/>
                <w:b/>
                <w:color w:val="auto"/>
                <w:sz w:val="24"/>
                <w:szCs w:val="24"/>
                <w:highlight w:val="none"/>
                <w:lang w:val="en-US" w:eastAsia="zh-CN"/>
              </w:rPr>
              <w:t>350</w:t>
            </w:r>
            <w:r>
              <w:rPr>
                <w:rFonts w:hint="eastAsia" w:ascii="宋体" w:hAnsi="宋体"/>
                <w:b/>
                <w:color w:val="auto"/>
                <w:sz w:val="24"/>
                <w:szCs w:val="24"/>
                <w:highlight w:val="none"/>
              </w:rPr>
              <w:t>万元，投标人的报价不得超过以上</w:t>
            </w:r>
            <w:r>
              <w:rPr>
                <w:rFonts w:hint="default" w:ascii="宋体" w:hAnsi="宋体"/>
                <w:b/>
                <w:color w:val="auto"/>
                <w:sz w:val="24"/>
                <w:szCs w:val="24"/>
                <w:highlight w:val="none"/>
              </w:rPr>
              <w:t>采购</w:t>
            </w:r>
            <w:r>
              <w:rPr>
                <w:rFonts w:hint="eastAsia" w:ascii="宋体" w:hAnsi="宋体"/>
                <w:b/>
                <w:color w:val="auto"/>
                <w:sz w:val="24"/>
                <w:szCs w:val="24"/>
                <w:highlight w:val="none"/>
                <w:lang w:val="en-US" w:eastAsia="zh-CN"/>
              </w:rPr>
              <w:t>控制价</w:t>
            </w:r>
            <w:r>
              <w:rPr>
                <w:rFonts w:hint="eastAsia" w:ascii="宋体" w:hAnsi="宋体"/>
                <w:b/>
                <w:color w:val="auto"/>
                <w:sz w:val="24"/>
                <w:szCs w:val="24"/>
                <w:highlight w:val="none"/>
              </w:rPr>
              <w:t>，否则将按无效投标处理。</w:t>
            </w:r>
          </w:p>
        </w:tc>
      </w:tr>
      <w:tr w14:paraId="511C2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top"/>
          </w:tcPr>
          <w:p w14:paraId="224F3C74">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37</w:t>
            </w:r>
          </w:p>
        </w:tc>
        <w:tc>
          <w:tcPr>
            <w:tcW w:w="696" w:type="dxa"/>
            <w:tcBorders>
              <w:bottom w:val="single" w:color="auto" w:sz="4" w:space="0"/>
            </w:tcBorders>
            <w:noWrap w:val="0"/>
            <w:vAlign w:val="top"/>
          </w:tcPr>
          <w:p w14:paraId="6222A1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top"/>
          </w:tcPr>
          <w:p w14:paraId="3F0AC8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top"/>
          </w:tcPr>
          <w:p w14:paraId="3D20FE3D">
            <w:pPr>
              <w:keepNext w:val="0"/>
              <w:keepLines w:val="0"/>
              <w:suppressLineNumbers w:val="0"/>
              <w:spacing w:before="0" w:beforeAutospacing="0" w:after="0" w:afterAutospacing="0" w:line="360" w:lineRule="auto"/>
              <w:ind w:left="0" w:right="0"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w:t>
            </w:r>
            <w:r>
              <w:rPr>
                <w:rFonts w:hint="eastAsia" w:ascii="宋体" w:hAnsi="宋体"/>
                <w:b/>
                <w:color w:val="auto"/>
                <w:sz w:val="24"/>
                <w:szCs w:val="24"/>
                <w:highlight w:val="none"/>
              </w:rPr>
              <w:t>1.交付使用期：</w:t>
            </w:r>
            <w:r>
              <w:rPr>
                <w:rFonts w:hint="eastAsia" w:ascii="宋体" w:hAnsi="宋体"/>
                <w:b/>
                <w:color w:val="auto"/>
                <w:sz w:val="24"/>
                <w:szCs w:val="24"/>
                <w:highlight w:val="none"/>
                <w:lang w:val="en-US" w:eastAsia="zh-CN"/>
              </w:rPr>
              <w:t>合同签订后30个日历日内完成</w:t>
            </w:r>
            <w:r>
              <w:rPr>
                <w:rFonts w:hint="eastAsia" w:ascii="宋体" w:hAnsi="宋体"/>
                <w:b/>
                <w:color w:val="auto"/>
                <w:sz w:val="24"/>
                <w:szCs w:val="24"/>
                <w:highlight w:val="none"/>
              </w:rPr>
              <w:t>交货及安装。</w:t>
            </w:r>
          </w:p>
        </w:tc>
      </w:tr>
    </w:tbl>
    <w:p w14:paraId="10667F96">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14:paraId="78110A30">
      <w:pPr>
        <w:spacing w:line="360" w:lineRule="auto"/>
        <w:rPr>
          <w:rFonts w:hint="eastAsia" w:ascii="宋体" w:hAnsi="宋体" w:eastAsia="宋体" w:cs="宋体"/>
          <w:bCs/>
          <w:color w:val="auto"/>
          <w:sz w:val="24"/>
          <w:szCs w:val="24"/>
          <w:highlight w:val="none"/>
        </w:rPr>
      </w:pPr>
    </w:p>
    <w:p w14:paraId="2F402D40">
      <w:pPr>
        <w:spacing w:line="360" w:lineRule="auto"/>
        <w:rPr>
          <w:rFonts w:hint="eastAsia" w:ascii="宋体" w:hAnsi="宋体" w:eastAsia="宋体" w:cs="宋体"/>
          <w:bCs/>
          <w:color w:val="auto"/>
          <w:sz w:val="24"/>
          <w:szCs w:val="24"/>
          <w:highlight w:val="none"/>
        </w:rPr>
      </w:pPr>
    </w:p>
    <w:p w14:paraId="26FA79EC">
      <w:pPr>
        <w:spacing w:line="360" w:lineRule="auto"/>
        <w:ind w:firstLine="640" w:firstLineChars="200"/>
        <w:jc w:val="both"/>
        <w:rPr>
          <w:rFonts w:hint="eastAsia" w:ascii="宋体" w:hAnsi="宋体" w:eastAsia="宋体" w:cs="宋体"/>
          <w:color w:val="auto"/>
          <w:sz w:val="32"/>
          <w:szCs w:val="32"/>
          <w:highlight w:val="none"/>
        </w:rPr>
        <w:sectPr>
          <w:footerReference r:id="rId7" w:type="default"/>
          <w:pgSz w:w="11907" w:h="16840"/>
          <w:pgMar w:top="1440" w:right="1752" w:bottom="1290" w:left="1752" w:header="851" w:footer="992" w:gutter="0"/>
          <w:pgBorders>
            <w:top w:val="none" w:sz="0" w:space="0"/>
            <w:left w:val="none" w:sz="0" w:space="0"/>
            <w:bottom w:val="none" w:sz="0" w:space="0"/>
            <w:right w:val="none" w:sz="0" w:space="0"/>
          </w:pgBorders>
          <w:pgNumType w:start="1"/>
          <w:cols w:space="720" w:num="1"/>
          <w:docGrid w:linePitch="323" w:charSpace="-2"/>
        </w:sectPr>
      </w:pPr>
    </w:p>
    <w:p w14:paraId="749025EB">
      <w:pPr>
        <w:spacing w:line="360" w:lineRule="auto"/>
        <w:ind w:firstLine="643" w:firstLineChars="200"/>
        <w:jc w:val="both"/>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投标人须知前附表3：评标方法、评标标准、定标原则</w:t>
      </w:r>
    </w:p>
    <w:tbl>
      <w:tblPr>
        <w:tblStyle w:val="11"/>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4468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0A1D9A54">
            <w:pPr>
              <w:pStyle w:val="2"/>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070C5413">
            <w:pPr>
              <w:pStyle w:val="2"/>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14:paraId="1D5B7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709A8DD8">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14:paraId="4282B459">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14:paraId="134CF033">
            <w:pPr>
              <w:pStyle w:val="2"/>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14:paraId="69872B12">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14:paraId="15E63435">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default" w:ascii="宋体" w:hAnsi="宋体" w:cs="宋体"/>
                <w:color w:val="auto"/>
                <w:sz w:val="24"/>
                <w:szCs w:val="24"/>
                <w:highlight w:val="none"/>
              </w:rPr>
              <w:t>3</w:t>
            </w:r>
            <w:r>
              <w:rPr>
                <w:rFonts w:hint="eastAsia" w:ascii="宋体" w:hAnsi="宋体" w:eastAsia="宋体" w:cs="宋体"/>
                <w:color w:val="auto"/>
                <w:sz w:val="24"/>
                <w:szCs w:val="24"/>
                <w:highlight w:val="none"/>
              </w:rPr>
              <w:t>个。</w:t>
            </w:r>
          </w:p>
          <w:p w14:paraId="02C9B433">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3BC5E175">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14:paraId="5A512920">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0B6CCE11">
            <w:pPr>
              <w:pStyle w:val="2"/>
              <w:keepNext w:val="0"/>
              <w:keepLines w:val="0"/>
              <w:suppressLineNumbers w:val="0"/>
              <w:snapToGrid w:val="0"/>
              <w:spacing w:before="0" w:beforeAutospacing="0" w:after="0" w:afterAutospacing="0" w:line="360" w:lineRule="auto"/>
              <w:ind w:left="0" w:right="0" w:firstLine="420" w:firstLineChars="1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14:paraId="2CA6E56E">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3E786111">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4、关于同一品牌产品投标的相关规定</w:t>
            </w:r>
          </w:p>
          <w:p w14:paraId="7E15774A">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14:paraId="56057D70">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14:paraId="59C37046">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14:paraId="15AA35E8">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14:paraId="1EF60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1D2CAC6F">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default" w:ascii="宋体" w:hAnsi="宋体" w:cs="宋体"/>
                <w:color w:val="auto"/>
                <w:sz w:val="24"/>
                <w:szCs w:val="24"/>
                <w:highlight w:val="none"/>
              </w:rPr>
              <w:t>1</w:t>
            </w:r>
            <w:r>
              <w:rPr>
                <w:rFonts w:hint="eastAsia" w:ascii="宋体" w:hAnsi="宋体" w:eastAsia="宋体" w:cs="宋体"/>
                <w:color w:val="auto"/>
                <w:sz w:val="24"/>
                <w:szCs w:val="24"/>
                <w:highlight w:val="none"/>
              </w:rPr>
              <w:t>个）：</w:t>
            </w:r>
          </w:p>
          <w:p w14:paraId="244976A0">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14:paraId="3A73E7AB">
            <w:pPr>
              <w:pStyle w:val="2"/>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14:paraId="3E7BDD68">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14:paraId="794A7653">
      <w:pPr>
        <w:pStyle w:val="2"/>
        <w:snapToGrid w:val="0"/>
        <w:spacing w:line="360" w:lineRule="auto"/>
        <w:ind w:firstLine="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4A208082">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794D592E">
      <w:pPr>
        <w:tabs>
          <w:tab w:val="left" w:pos="-1080"/>
          <w:tab w:val="left" w:pos="180"/>
          <w:tab w:val="left" w:pos="1080"/>
        </w:tabs>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附件：评标标准、权重</w:t>
      </w:r>
    </w:p>
    <w:p w14:paraId="3802301E">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u w:val="single"/>
          <w:lang w:val="en-US" w:eastAsia="zh-CN"/>
        </w:rPr>
        <w:t>55</w:t>
      </w:r>
      <w:r>
        <w:rPr>
          <w:rFonts w:hint="eastAsia" w:ascii="宋体" w:hAnsi="宋体" w:eastAsia="宋体" w:cs="宋体"/>
          <w:color w:val="auto"/>
          <w:sz w:val="24"/>
          <w:szCs w:val="24"/>
          <w:highlight w:val="none"/>
        </w:rPr>
        <w:t>分评分法，技术评分考虑下列因素：</w:t>
      </w:r>
    </w:p>
    <w:tbl>
      <w:tblPr>
        <w:tblStyle w:val="11"/>
        <w:tblW w:w="9080" w:type="dxa"/>
        <w:tblInd w:w="-42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726"/>
        <w:gridCol w:w="553"/>
        <w:gridCol w:w="7801"/>
      </w:tblGrid>
      <w:tr w14:paraId="21DCB23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Header/>
        </w:trPr>
        <w:tc>
          <w:tcPr>
            <w:tcW w:w="726" w:type="dxa"/>
            <w:tcBorders>
              <w:top w:val="outset" w:color="auto" w:sz="6" w:space="0"/>
              <w:left w:val="outset" w:color="auto" w:sz="6" w:space="0"/>
              <w:bottom w:val="outset" w:color="auto" w:sz="6" w:space="0"/>
              <w:right w:val="outset" w:color="auto" w:sz="6" w:space="0"/>
            </w:tcBorders>
            <w:noWrap w:val="0"/>
            <w:vAlign w:val="center"/>
          </w:tcPr>
          <w:p w14:paraId="1BE162B0">
            <w:pPr>
              <w:keepNext w:val="0"/>
              <w:keepLines w:val="0"/>
              <w:widowControl/>
              <w:suppressLineNumbers w:val="0"/>
              <w:spacing w:before="0" w:beforeAutospacing="0" w:after="0" w:afterAutospacing="0" w:line="360" w:lineRule="auto"/>
              <w:ind w:left="0" w:right="0"/>
              <w:jc w:val="center"/>
              <w:rPr>
                <w:rFonts w:hint="default"/>
                <w:color w:val="auto"/>
                <w:sz w:val="24"/>
                <w:szCs w:val="24"/>
                <w:highlight w:val="none"/>
              </w:rPr>
            </w:pPr>
            <w:r>
              <w:rPr>
                <w:rFonts w:hint="default" w:ascii="宋体" w:hAnsi="宋体" w:eastAsia="宋体" w:cs="宋体"/>
                <w:color w:val="auto"/>
                <w:kern w:val="0"/>
                <w:sz w:val="24"/>
                <w:szCs w:val="24"/>
                <w:highlight w:val="none"/>
                <w:lang w:val="en-US" w:eastAsia="zh-CN" w:bidi="ar"/>
              </w:rPr>
              <w:t>评标项目</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7C22A5ED">
            <w:pPr>
              <w:keepNext w:val="0"/>
              <w:keepLines w:val="0"/>
              <w:widowControl/>
              <w:suppressLineNumbers w:val="0"/>
              <w:spacing w:before="0" w:beforeAutospacing="0" w:after="0" w:afterAutospacing="0" w:line="360" w:lineRule="auto"/>
              <w:ind w:left="0" w:right="0"/>
              <w:jc w:val="center"/>
              <w:rPr>
                <w:rFonts w:hint="default"/>
                <w:color w:val="auto"/>
                <w:sz w:val="24"/>
                <w:szCs w:val="24"/>
                <w:highlight w:val="none"/>
              </w:rPr>
            </w:pPr>
            <w:r>
              <w:rPr>
                <w:rFonts w:hint="default" w:ascii="宋体" w:hAnsi="宋体" w:eastAsia="宋体" w:cs="宋体"/>
                <w:color w:val="auto"/>
                <w:kern w:val="0"/>
                <w:sz w:val="24"/>
                <w:szCs w:val="24"/>
                <w:highlight w:val="none"/>
                <w:lang w:val="en-US" w:eastAsia="zh-CN" w:bidi="ar"/>
              </w:rPr>
              <w:t>评标分值</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33922281">
            <w:pPr>
              <w:keepNext w:val="0"/>
              <w:keepLines w:val="0"/>
              <w:widowControl/>
              <w:suppressLineNumbers w:val="0"/>
              <w:spacing w:before="0" w:beforeAutospacing="0" w:after="0" w:afterAutospacing="0" w:line="360" w:lineRule="auto"/>
              <w:ind w:left="0" w:right="0"/>
              <w:jc w:val="center"/>
              <w:rPr>
                <w:rFonts w:hint="default"/>
                <w:color w:val="auto"/>
                <w:sz w:val="24"/>
                <w:szCs w:val="24"/>
                <w:highlight w:val="none"/>
              </w:rPr>
            </w:pPr>
            <w:r>
              <w:rPr>
                <w:rFonts w:hint="default" w:ascii="宋体" w:hAnsi="宋体" w:eastAsia="宋体" w:cs="宋体"/>
                <w:color w:val="auto"/>
                <w:kern w:val="0"/>
                <w:sz w:val="24"/>
                <w:szCs w:val="24"/>
                <w:highlight w:val="none"/>
                <w:lang w:val="en-US" w:eastAsia="zh-CN" w:bidi="ar"/>
              </w:rPr>
              <w:t>评标方法描述</w:t>
            </w:r>
          </w:p>
        </w:tc>
      </w:tr>
      <w:tr w14:paraId="2A8FC3F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726" w:type="dxa"/>
            <w:tcBorders>
              <w:top w:val="outset" w:color="auto" w:sz="6" w:space="0"/>
              <w:left w:val="outset" w:color="auto" w:sz="6" w:space="0"/>
              <w:bottom w:val="outset" w:color="auto" w:sz="6" w:space="0"/>
              <w:right w:val="outset" w:color="auto" w:sz="6" w:space="0"/>
            </w:tcBorders>
            <w:noWrap w:val="0"/>
            <w:vAlign w:val="center"/>
          </w:tcPr>
          <w:p w14:paraId="70E3B845">
            <w:pPr>
              <w:keepNext w:val="0"/>
              <w:keepLines w:val="0"/>
              <w:widowControl/>
              <w:suppressLineNumbers w:val="0"/>
              <w:spacing w:before="0" w:beforeAutospacing="0" w:after="0" w:afterAutospacing="0" w:line="360" w:lineRule="auto"/>
              <w:ind w:left="0" w:right="0" w:firstLine="356" w:firstLineChars="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3E35942C">
            <w:pPr>
              <w:keepNext w:val="0"/>
              <w:keepLines w:val="0"/>
              <w:widowControl/>
              <w:suppressLineNumbers w:val="0"/>
              <w:spacing w:before="0" w:beforeAutospacing="0" w:after="0" w:afterAutospacing="0" w:line="360" w:lineRule="auto"/>
              <w:ind w:left="0" w:right="0" w:firstLine="356" w:firstLineChars="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36E260F5">
            <w:pPr>
              <w:keepNext w:val="0"/>
              <w:keepLines w:val="0"/>
              <w:widowControl/>
              <w:suppressLineNumbers w:val="0"/>
              <w:spacing w:before="0" w:beforeAutospacing="0" w:after="0" w:afterAutospacing="0" w:line="360" w:lineRule="auto"/>
              <w:ind w:left="0" w:right="0"/>
              <w:jc w:val="left"/>
              <w:rPr>
                <w:rFonts w:hint="default"/>
                <w:color w:val="auto"/>
                <w:sz w:val="24"/>
                <w:szCs w:val="24"/>
                <w:highlight w:val="none"/>
              </w:rPr>
            </w:pPr>
            <w:r>
              <w:rPr>
                <w:rFonts w:hint="eastAsia" w:ascii="宋体" w:hAnsi="宋体" w:eastAsia="宋体" w:cs="宋体"/>
                <w:color w:val="auto"/>
                <w:kern w:val="0"/>
                <w:sz w:val="24"/>
                <w:szCs w:val="24"/>
                <w:highlight w:val="none"/>
                <w:lang w:val="en-US" w:eastAsia="zh-CN" w:bidi="ar"/>
              </w:rPr>
              <w:t>根据各投标人所投</w:t>
            </w:r>
            <w:r>
              <w:rPr>
                <w:rFonts w:hint="eastAsia" w:ascii="宋体" w:hAnsi="宋体" w:cs="宋体"/>
                <w:color w:val="auto"/>
                <w:kern w:val="0"/>
                <w:sz w:val="24"/>
                <w:szCs w:val="24"/>
                <w:highlight w:val="none"/>
                <w:lang w:val="en-US" w:eastAsia="zh-CN" w:bidi="ar"/>
              </w:rPr>
              <w:t>品目序号1</w:t>
            </w:r>
            <w:r>
              <w:rPr>
                <w:rFonts w:hint="eastAsia" w:ascii="宋体" w:hAnsi="宋体" w:eastAsia="宋体" w:cs="宋体"/>
                <w:color w:val="auto"/>
                <w:kern w:val="0"/>
                <w:sz w:val="24"/>
                <w:szCs w:val="24"/>
                <w:highlight w:val="none"/>
                <w:lang w:val="en-US" w:eastAsia="zh-CN" w:bidi="ar"/>
              </w:rPr>
              <w:t xml:space="preserve">“组合公寓床（钢木塑）” 满足：“2、前后床厅：外形规格为80（±1）mm×30（±1）mm，厚度≥1.2（±0.1）mm带钢，经轧压线辊压成型，高频焊接成闭口型材管。为保证强度，床厅与挂件正面焊接处需连续满焊不能留缺口及缝隙。” </w:t>
            </w:r>
          </w:p>
          <w:p w14:paraId="49EE066F">
            <w:pPr>
              <w:keepNext w:val="0"/>
              <w:keepLines w:val="0"/>
              <w:widowControl/>
              <w:suppressLineNumbers w:val="0"/>
              <w:spacing w:before="0" w:beforeAutospacing="0" w:after="0" w:afterAutospacing="0" w:line="360" w:lineRule="auto"/>
              <w:ind w:left="0" w:right="0" w:firstLine="0" w:firstLineChars="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投标人须提供书面承诺函（格式自拟）完全满足得 2分，其余不得分。</w:t>
            </w:r>
          </w:p>
        </w:tc>
      </w:tr>
      <w:tr w14:paraId="758FA73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360" w:hRule="atLeast"/>
        </w:trPr>
        <w:tc>
          <w:tcPr>
            <w:tcW w:w="726" w:type="dxa"/>
            <w:tcBorders>
              <w:top w:val="outset" w:color="auto" w:sz="6" w:space="0"/>
              <w:left w:val="outset" w:color="auto" w:sz="6" w:space="0"/>
              <w:bottom w:val="outset" w:color="auto" w:sz="6" w:space="0"/>
              <w:right w:val="outset" w:color="auto" w:sz="6" w:space="0"/>
            </w:tcBorders>
            <w:noWrap w:val="0"/>
            <w:vAlign w:val="center"/>
          </w:tcPr>
          <w:p w14:paraId="30105090">
            <w:pPr>
              <w:keepNext w:val="0"/>
              <w:keepLines w:val="0"/>
              <w:widowControl/>
              <w:suppressLineNumbers w:val="0"/>
              <w:spacing w:before="0" w:beforeAutospacing="0" w:after="0" w:afterAutospacing="0" w:line="360" w:lineRule="auto"/>
              <w:ind w:left="0" w:right="0" w:firstLine="240" w:firstLineChars="10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40D766B4">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17D279CB">
            <w:pPr>
              <w:keepNext w:val="0"/>
              <w:keepLines w:val="0"/>
              <w:widowControl/>
              <w:suppressLineNumbers w:val="0"/>
              <w:spacing w:before="0" w:beforeAutospacing="0" w:after="0" w:afterAutospacing="0" w:line="360" w:lineRule="auto"/>
              <w:ind w:left="0" w:right="0"/>
              <w:jc w:val="left"/>
              <w:rPr>
                <w:rFonts w:hint="default"/>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根据各投标人所投品目序号1“组合公寓床（钢木塑）” 满足：“8、床横梁与床立柱连接方式：采用卡扣式连接（无需螺栓），卡式连接挂件经拉伸成型为3个接触面并带3个挂齿，挂齿由导向段和锁紧段组成，床厅与卡式连接挂件焊接为一个整体。” </w:t>
            </w:r>
          </w:p>
          <w:p w14:paraId="36144FA4">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投标人须提供书面承诺函（格式自拟）完全满足得 3分，其余不得分。</w:t>
            </w:r>
          </w:p>
        </w:tc>
      </w:tr>
      <w:tr w14:paraId="217504A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26" w:type="dxa"/>
            <w:tcBorders>
              <w:top w:val="outset" w:color="auto" w:sz="6" w:space="0"/>
              <w:left w:val="outset" w:color="auto" w:sz="6" w:space="0"/>
              <w:bottom w:val="outset" w:color="auto" w:sz="6" w:space="0"/>
              <w:right w:val="outset" w:color="auto" w:sz="6" w:space="0"/>
            </w:tcBorders>
            <w:noWrap w:val="0"/>
            <w:vAlign w:val="center"/>
          </w:tcPr>
          <w:p w14:paraId="13BBEDB7">
            <w:pPr>
              <w:keepNext w:val="0"/>
              <w:keepLines w:val="0"/>
              <w:widowControl/>
              <w:suppressLineNumbers w:val="0"/>
              <w:spacing w:before="0" w:beforeAutospacing="0" w:after="0" w:afterAutospacing="0" w:line="360" w:lineRule="auto"/>
              <w:ind w:left="0" w:right="0" w:firstLine="240" w:firstLineChars="10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0E21D0B0">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782ABA2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根据各投标人所投品目序号3“实木铺板（杉木）”满足：“1、实木铺板由16（±1）mm杉木板7片拼接而成，四周切角≥10mm×10mm；2、采用4根30（±3）mm×40（±3）mm杉木固定而成。” </w:t>
            </w:r>
          </w:p>
          <w:p w14:paraId="09B77071">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投标人须提供书面承诺函（格式自拟）完全满足得 3 分，其余不得分。</w:t>
            </w:r>
          </w:p>
        </w:tc>
      </w:tr>
      <w:tr w14:paraId="2A0D978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005" w:hRule="atLeast"/>
        </w:trPr>
        <w:tc>
          <w:tcPr>
            <w:tcW w:w="726" w:type="dxa"/>
            <w:tcBorders>
              <w:top w:val="outset" w:color="auto" w:sz="6" w:space="0"/>
              <w:left w:val="outset" w:color="auto" w:sz="6" w:space="0"/>
              <w:bottom w:val="outset" w:color="auto" w:sz="6" w:space="0"/>
              <w:right w:val="outset" w:color="auto" w:sz="6" w:space="0"/>
            </w:tcBorders>
            <w:noWrap w:val="0"/>
            <w:vAlign w:val="center"/>
          </w:tcPr>
          <w:p w14:paraId="327CB545">
            <w:pPr>
              <w:keepNext w:val="0"/>
              <w:keepLines w:val="0"/>
              <w:widowControl/>
              <w:suppressLineNumbers w:val="0"/>
              <w:spacing w:before="0" w:beforeAutospacing="0" w:after="0" w:afterAutospacing="0" w:line="360" w:lineRule="auto"/>
              <w:ind w:left="0" w:right="0" w:firstLine="240" w:firstLineChars="10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6B58D966">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default"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733B76CC">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 xml:space="preserve">根据各投标人所投品目序号6“学习书架” 满足：“2、采用E0级中纤板，厚度18（±3）mm，层板25（±3）mm。不易变形或开裂，强度大，平整度好。” </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投标人须提供书面承诺函（格式自拟）完全满足得 3 分，其余不得分。</w:t>
            </w:r>
          </w:p>
        </w:tc>
      </w:tr>
      <w:tr w14:paraId="050FFD1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26" w:type="dxa"/>
            <w:tcBorders>
              <w:top w:val="outset" w:color="auto" w:sz="6" w:space="0"/>
              <w:left w:val="outset" w:color="auto" w:sz="6" w:space="0"/>
              <w:bottom w:val="outset" w:color="auto" w:sz="6" w:space="0"/>
              <w:right w:val="outset" w:color="auto" w:sz="6" w:space="0"/>
            </w:tcBorders>
            <w:noWrap w:val="0"/>
            <w:vAlign w:val="center"/>
          </w:tcPr>
          <w:p w14:paraId="04179A8E">
            <w:pPr>
              <w:keepNext w:val="0"/>
              <w:keepLines w:val="0"/>
              <w:widowControl/>
              <w:suppressLineNumbers w:val="0"/>
              <w:spacing w:before="0" w:beforeAutospacing="0" w:after="0" w:afterAutospacing="0" w:line="360" w:lineRule="auto"/>
              <w:ind w:left="0" w:right="0" w:firstLine="240" w:firstLineChars="10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76EE1862">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66EA8E9E">
            <w:pPr>
              <w:keepNext w:val="0"/>
              <w:keepLines w:val="0"/>
              <w:widowControl/>
              <w:suppressLineNumbers w:val="0"/>
              <w:spacing w:before="0" w:beforeAutospacing="0" w:after="0" w:afterAutospacing="0" w:line="360" w:lineRule="auto"/>
              <w:ind w:left="0" w:right="0"/>
              <w:jc w:val="left"/>
              <w:rPr>
                <w:rFonts w:hint="default"/>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根据各投标人所投品目序号8“6门木塑衣柜” 满足：“4、防潮脚架：采用≥1.2mm方管，立柱管采用50（±2）×50（±2）mm，高度50（±2）mm方管，横杆采用40（±2）×25（±2）mm方管。下方采用PP塑料脚垫。钢件皆经酸洗、磷化工艺处理，表面静电喷塑。” </w:t>
            </w:r>
          </w:p>
          <w:p w14:paraId="0861AB8C">
            <w:pPr>
              <w:keepNext w:val="0"/>
              <w:keepLines w:val="0"/>
              <w:widowControl/>
              <w:suppressLineNumbers w:val="0"/>
              <w:spacing w:before="0" w:beforeAutospacing="0" w:after="0" w:afterAutospacing="0" w:line="360" w:lineRule="auto"/>
              <w:ind w:left="0" w:right="0" w:firstLine="0" w:firstLineChars="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投标人须提供书面承诺函（格式自拟）完全满足得 3 分，其余不得分。</w:t>
            </w:r>
          </w:p>
        </w:tc>
      </w:tr>
      <w:tr w14:paraId="237B668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trPr>
        <w:tc>
          <w:tcPr>
            <w:tcW w:w="726" w:type="dxa"/>
            <w:tcBorders>
              <w:top w:val="outset" w:color="auto" w:sz="6" w:space="0"/>
              <w:left w:val="outset" w:color="auto" w:sz="6" w:space="0"/>
              <w:bottom w:val="outset" w:color="auto" w:sz="6" w:space="0"/>
              <w:right w:val="outset" w:color="auto" w:sz="6" w:space="0"/>
            </w:tcBorders>
            <w:noWrap w:val="0"/>
            <w:vAlign w:val="center"/>
          </w:tcPr>
          <w:p w14:paraId="28E0179D">
            <w:pPr>
              <w:keepNext w:val="0"/>
              <w:keepLines w:val="0"/>
              <w:widowControl/>
              <w:suppressLineNumbers w:val="0"/>
              <w:spacing w:before="0" w:beforeAutospacing="0" w:after="0" w:afterAutospacing="0" w:line="360" w:lineRule="auto"/>
              <w:ind w:left="0" w:right="0" w:firstLine="240" w:firstLineChars="10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2F78C735">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090B3ABB">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根据投标人提供的由第三方检测机构出具的“中密度纤维板(MDF板)”检测报告，产品检测需依据以下标准执行：</w:t>
            </w:r>
          </w:p>
          <w:p w14:paraId="4CDA8D29">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依据《中密度纤维板》、《人造板及其制品甲醛释放量分级》、《浸渍胶膜纸饰面纤维板和刨花板》，检测项目内容至少包含：</w:t>
            </w:r>
          </w:p>
          <w:p w14:paraId="54163DAC">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1、含水率：≤10%。</w:t>
            </w:r>
          </w:p>
          <w:p w14:paraId="0477587C">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2、表面耐冷热循环（密度≥0.65g/cm³）：无裂纹、鼓泡、变色、起皱等符合要求。</w:t>
            </w:r>
          </w:p>
          <w:p w14:paraId="7DC72888">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3、表面耐香烟灼烧（密度≥0.65g/cm³）：≥4级。</w:t>
            </w:r>
          </w:p>
          <w:p w14:paraId="71AC554E">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4、表面耐污染腐蚀（素色、密度≥0.65g/cm³）：≥4级。</w:t>
            </w:r>
          </w:p>
          <w:p w14:paraId="2F34D1B8">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5、甲醛释放量≤0.05mg/m³。 </w:t>
            </w:r>
          </w:p>
          <w:p w14:paraId="610900DF">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2CC732A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http://cx.cnca.cn/CertECloud/qts/qts/qtsPage?showMode=2）的有效查询 网址，检测报告为带 CMA 或 CNAS 标识的检测机构出具的检测报告，检验 报告中受检（或委托）单位应与投标人或生产厂家一致。完全满足得 3 分，其余不得分。 </w:t>
            </w:r>
          </w:p>
        </w:tc>
      </w:tr>
      <w:tr w14:paraId="20772C9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953" w:hRule="atLeast"/>
        </w:trPr>
        <w:tc>
          <w:tcPr>
            <w:tcW w:w="726" w:type="dxa"/>
            <w:tcBorders>
              <w:top w:val="outset" w:color="auto" w:sz="6" w:space="0"/>
              <w:left w:val="outset" w:color="auto" w:sz="6" w:space="0"/>
              <w:bottom w:val="outset" w:color="auto" w:sz="6" w:space="0"/>
              <w:right w:val="outset" w:color="auto" w:sz="6" w:space="0"/>
            </w:tcBorders>
            <w:noWrap w:val="0"/>
            <w:vAlign w:val="center"/>
          </w:tcPr>
          <w:p w14:paraId="68E71C0B">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7E573FB6">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061F51D1">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根据投标人提供的由第三方检测机构出具的“热熔胶”检测报告，产品检测需依据以下标准执行：</w:t>
            </w:r>
          </w:p>
          <w:p w14:paraId="7D170E87">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依据《室内装饰装修材料 胶粘剂中有害物质限量》、《环境标志产品技术要求 胶粘剂》，检测项目内容至少包含：</w:t>
            </w:r>
          </w:p>
          <w:p w14:paraId="2EAD1ACE">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1、溶剂型胶粘剂中有害物质限量：游离甲醛未检出、苯未检出、甲苯+二甲苯未检出、总挥发性有机物≤250g/L。</w:t>
            </w:r>
          </w:p>
          <w:p w14:paraId="0DD149A9">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2、溶剂型建筑胶粘剂中有毒有害物质的限量：卤代烃未检出。                             </w:t>
            </w:r>
          </w:p>
          <w:p w14:paraId="5FBD548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761A279A">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http://cx.cnca.cn/CertECloud/qts/qts/qtsPage?showMode=2）的有效查询 网址，检测报告为带 CMA 或 CNAS 标识的检测机构出具的检测报告，检验 报告中受检（或委托）单位应与投标人或生产厂家一致。完全满足得 3 分，其余不得分。 </w:t>
            </w:r>
          </w:p>
        </w:tc>
      </w:tr>
      <w:tr w14:paraId="15D3119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56" w:hRule="atLeast"/>
        </w:trPr>
        <w:tc>
          <w:tcPr>
            <w:tcW w:w="726" w:type="dxa"/>
            <w:tcBorders>
              <w:top w:val="outset" w:color="auto" w:sz="6" w:space="0"/>
              <w:left w:val="outset" w:color="auto" w:sz="6" w:space="0"/>
              <w:bottom w:val="outset" w:color="auto" w:sz="6" w:space="0"/>
              <w:right w:val="outset" w:color="auto" w:sz="6" w:space="0"/>
            </w:tcBorders>
            <w:noWrap w:val="0"/>
            <w:vAlign w:val="center"/>
          </w:tcPr>
          <w:p w14:paraId="45D8DF8B">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0F1A937B">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67C5396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根据投标人提供的由第三方检测机构出具的“公寓椅”检测报告，产品检测需依据以下标准执行：</w:t>
            </w:r>
          </w:p>
          <w:p w14:paraId="69AB3F6D">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依据《金属家具通用技术条件》、《家具 质量检验及质量评定 第2部分：金属家具》、《轻工产品金属镀层和化学处理层的耐腐蚀试验方法 中性盐雾试验（NSS）法》、《绿色产品评价 家具》、《轻工产品金属镀层腐蚀试验结果的评价》，检测项目内容至少包含：</w:t>
            </w:r>
          </w:p>
          <w:p w14:paraId="245D50A8">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1、耐腐蚀试验：中性盐雾试验（NSS）法-24h：涂（镀）层本身的耐腐蚀等级≥10级、涂（镀）层对基体的保护等级≥10级。</w:t>
            </w:r>
          </w:p>
          <w:p w14:paraId="2CF22ACF">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2、理化性能（金属喷漆(塑)涂层）：硬度（铅笔硬度H）合格；冲击强度（冲击高度400mm）合格；附着力0级。</w:t>
            </w:r>
          </w:p>
          <w:p w14:paraId="606C7750">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3、甲醛释放量≤0.05mg/m³。</w:t>
            </w:r>
          </w:p>
          <w:p w14:paraId="0ADC798F">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4、产品有害物质：［苯、甲苯、二甲苯、总挥发性有机化合物（TVOC）］均未检出。</w:t>
            </w:r>
          </w:p>
          <w:p w14:paraId="36637EA9">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5、产品有害物质：家具涂层可迁移元素（铅、镉、铬、汞、锑、钡、硒、砷）均合格。</w:t>
            </w:r>
          </w:p>
          <w:p w14:paraId="36C3145A">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6、金属喷漆(塑)涂层-耐腐蚀：100h内，观察在溶液中样板上划道两侧3mm以外，应无鼓泡产生；100h后，检查划道两侧3mm以外，应无鼓泡、锈蚀、剥落和起皱等现象。                                     </w:t>
            </w:r>
          </w:p>
          <w:p w14:paraId="6E5CE8F6">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  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272CB23B">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http://cx.cnca.cn/CertECloud/qts/qts/qtsPage?showMode=2）的有效查询 网址，检测报告为带 CMA 或 CNAS 标识的检测机构出具的检测报告，检验 报告中受检（或委托）单位应与投标人或生产厂家一致。完全满足得 3 分，其余不得分。 </w:t>
            </w:r>
          </w:p>
        </w:tc>
      </w:tr>
      <w:tr w14:paraId="3DBA2BB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65" w:hRule="atLeast"/>
        </w:trPr>
        <w:tc>
          <w:tcPr>
            <w:tcW w:w="726" w:type="dxa"/>
            <w:tcBorders>
              <w:top w:val="outset" w:color="auto" w:sz="6" w:space="0"/>
              <w:left w:val="outset" w:color="auto" w:sz="6" w:space="0"/>
              <w:bottom w:val="outset" w:color="auto" w:sz="6" w:space="0"/>
              <w:right w:val="outset" w:color="auto" w:sz="6" w:space="0"/>
            </w:tcBorders>
            <w:noWrap w:val="0"/>
            <w:vAlign w:val="center"/>
          </w:tcPr>
          <w:p w14:paraId="38D37B57">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448734EF">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24894F6F">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根据投标人提供的由第三方检测机构出具的“塑粉”检测报告，产品检测需依据以下标准执行：</w:t>
            </w:r>
          </w:p>
          <w:p w14:paraId="3FA6410D">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依据《热固性和热塑性粉末涂料》、《木器涂料中有害物质限量》，检测项目内容至少包含：</w:t>
            </w:r>
          </w:p>
          <w:p w14:paraId="2BDEFA09">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1、流动性：（120±10%）g。</w:t>
            </w:r>
          </w:p>
          <w:p w14:paraId="4D1E9AFD">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2、铅笔硬度（内聚破坏中擦伤）≥H。</w:t>
            </w:r>
          </w:p>
          <w:p w14:paraId="3FF8FB6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3、Ⅰ型1类热固性粉末涂料的要求：</w:t>
            </w:r>
          </w:p>
          <w:p w14:paraId="2D07C3A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（1）附着力（干附着力）：0级。</w:t>
            </w:r>
          </w:p>
          <w:p w14:paraId="698C2AA3">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（2）耐酸性［3%（质量分数）盐酸溶液］：240h无异常。</w:t>
            </w:r>
          </w:p>
          <w:p w14:paraId="42D74D34">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（3）耐碱性［5%（质量分数）氢氧化钠溶液］：室外用168h无异常。</w:t>
            </w:r>
          </w:p>
          <w:p w14:paraId="0C6E24E6">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（4）耐盐雾性（中性盐雾）：≥360h，划痕处单向腐蚀蔓延宽度≤2.0mm，未划痕区无起泡、生锈、开裂、剥落等异常现象。</w:t>
            </w:r>
          </w:p>
          <w:p w14:paraId="3D65FF8E">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（5）耐湿性（室外用）：≥360h无异常。</w:t>
            </w:r>
          </w:p>
          <w:p w14:paraId="65280E88">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（6）耐人工气候老化性：≥360h，变色0级，失光0级，无粉化、起泡、开裂、剥落。</w:t>
            </w:r>
          </w:p>
          <w:p w14:paraId="6A307021">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4、有害物质限量：总铅（Pb）未检出、可溶性重金属含量［镉（Cd）、铬（Cr）、汞(Hg)］均未检出。                                        </w:t>
            </w:r>
          </w:p>
          <w:p w14:paraId="69D072C8">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 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6A452E5A">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http://cx.cnca.cn/CertECloud/qts/qts/qtsPage?showMode=2）的有效查询 网址，检测报告为带 CMA 或 CNAS 标识的检测机构出具的检测报告，检验 报告中受检（或委托）单位应与投标人或生产厂家一致。完全满足得 3 分，其余不得分。 </w:t>
            </w:r>
          </w:p>
        </w:tc>
      </w:tr>
      <w:tr w14:paraId="47D4771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26" w:type="dxa"/>
            <w:tcBorders>
              <w:top w:val="outset" w:color="auto" w:sz="6" w:space="0"/>
              <w:left w:val="outset" w:color="auto" w:sz="6" w:space="0"/>
              <w:bottom w:val="outset" w:color="auto" w:sz="6" w:space="0"/>
              <w:right w:val="outset" w:color="auto" w:sz="6" w:space="0"/>
            </w:tcBorders>
            <w:noWrap w:val="0"/>
            <w:vAlign w:val="center"/>
          </w:tcPr>
          <w:p w14:paraId="2DC1273F">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5ADDF904">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74BBF54E">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根据投标人提供的由第三方检测机构出具的“液压缓冲铰链”检测报告，产品检测需依据以下标准执行：</w:t>
            </w:r>
          </w:p>
          <w:p w14:paraId="17CA9080">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依据《家具五金 杯状暗铰链》、《轻工产品金属镀层和化学处理层的耐腐蚀试验方法 铜盐加速乙酸盐雾试验（CASS）法》、《金属家具通用技术条件》、《人造气氛腐蚀试验 盐雾试验》、《轻工产品金属镀层腐蚀试验结果的评价》，检测项目内容至少包含：</w:t>
            </w:r>
          </w:p>
          <w:p w14:paraId="7EDC550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1、耐腐蚀试验：</w:t>
            </w:r>
          </w:p>
          <w:p w14:paraId="00B1567F">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（1）铜盐加速乙酸盐雾试验（CASS）法-24h：涂层本身的耐腐蚀等级≥10级、涂层对基体的保护等级≥10级；</w:t>
            </w:r>
          </w:p>
          <w:p w14:paraId="578774DC">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（2）乙酸盐雾试验（AASS）试验-24h：涂层本身的耐腐蚀等级≥10级、涂层对基体的保护等级≥10级。</w:t>
            </w:r>
          </w:p>
          <w:p w14:paraId="0F77EEDA">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2、过载：垂直静载荷（商用型：载荷≥30kg）合格；水平静载荷（商用型：载荷≥70N）合格。</w:t>
            </w:r>
          </w:p>
          <w:p w14:paraId="7DB83C0A">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3、功能：</w:t>
            </w:r>
          </w:p>
          <w:p w14:paraId="60CDDD7F">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（1）操作力：在耐久性试验前，打开力和关闭力不应大于20N；在耐久性试验后，打开力和关闭力不应大于20N。</w:t>
            </w:r>
          </w:p>
          <w:p w14:paraId="57BC4F8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（2）垂直静载荷（商用型：载荷≥20kg）合格；水平静载荷（商用型：载荷≥40N）合格。</w:t>
            </w:r>
          </w:p>
          <w:p w14:paraId="4F66C350">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（3）耐久性（商用型：循环≥80000次）合格。</w:t>
            </w:r>
          </w:p>
          <w:p w14:paraId="7646278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（4）下沉量≤1mm。</w:t>
            </w:r>
          </w:p>
          <w:p w14:paraId="4259E78A">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4、外观性能（金属件-喷漆(塑)涂层）：应无漏喷、锈蚀、脱色、掉色等；应光滑均匀，色泽一致，应无流挂、疙瘩、皱皮、飞漆等</w:t>
            </w:r>
          </w:p>
          <w:p w14:paraId="726AACAF">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 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102836A4">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http://cx.cnca.cn/CertECloud/qts/qts/qtsPage?showMode=2）的查询 网址，检测报告为带 CMA 或 CNAS 标识的检测机构出具的检测报告，检验 报告中受检（或委托）单位应与投标人或生产厂家一致。完全满足得 3 分，其余不得分。</w:t>
            </w:r>
          </w:p>
        </w:tc>
      </w:tr>
      <w:tr w14:paraId="6F87455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26" w:type="dxa"/>
            <w:tcBorders>
              <w:top w:val="outset" w:color="auto" w:sz="6" w:space="0"/>
              <w:left w:val="outset" w:color="auto" w:sz="6" w:space="0"/>
              <w:bottom w:val="outset" w:color="auto" w:sz="6" w:space="0"/>
              <w:right w:val="outset" w:color="auto" w:sz="6" w:space="0"/>
            </w:tcBorders>
            <w:noWrap w:val="0"/>
            <w:vAlign w:val="center"/>
          </w:tcPr>
          <w:p w14:paraId="2D0F1DB0">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11</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7AB564DB">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7B6E0FEB">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根据投标人提供的由第三方检测机构出具的“导轨”检测报告，产品检测需依据以下标准执行：</w:t>
            </w:r>
          </w:p>
          <w:p w14:paraId="3E03D6C9">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依据《家具五金 抽屉导轨》、《轻工产品金属镀层和化学处理层的耐腐蚀试验方法 铜盐加速乙酸盐雾试验（CASS）法》、《漆膜耐霉菌性测定法》、《金属家具通用技术条件》、《人造气氛腐蚀试验 盐雾试验》、《轻工产品金属镀层腐蚀试验结果的评价》，检测项目内容至少包含：</w:t>
            </w:r>
          </w:p>
          <w:p w14:paraId="2403F1A3">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1、耐腐蚀试验：</w:t>
            </w:r>
          </w:p>
          <w:p w14:paraId="1759EEEB">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（1）铜盐加速乙酸盐雾试验（CASS）法-24h：涂层本身的耐腐蚀等级≥10级、涂层对基体的保护等级≥10级；</w:t>
            </w:r>
          </w:p>
          <w:p w14:paraId="4193B064">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（2）乙酸盐雾试验（AASS）试验-24h：涂层本身的耐腐蚀等级≥10级、涂层对基体的保护等级≥10级。</w:t>
            </w:r>
          </w:p>
          <w:p w14:paraId="587ABEB3">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2、耐霉菌性等级：</w:t>
            </w:r>
          </w:p>
          <w:p w14:paraId="52D6C241">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（1）腊（蜡）叶芽枝霉（多主枝孢霉）：0级；</w:t>
            </w:r>
          </w:p>
          <w:p w14:paraId="7413E59A">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（2）土曲霉：0级；</w:t>
            </w:r>
          </w:p>
          <w:p w14:paraId="50DF677B">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（3）球毛壳霉（球毛壳）：0级；</w:t>
            </w:r>
          </w:p>
          <w:p w14:paraId="133E8225">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（4）灰绿曲霉：0级。</w:t>
            </w:r>
          </w:p>
          <w:p w14:paraId="136BCDF6">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3、过载：垂直向下静载荷(商用型：试验载荷300N)合格；水平侧向静载荷(商用型：试验载荷150N)合格；猛关、猛开(商用型：各加载10次，因子K=2.5）合格。</w:t>
            </w:r>
          </w:p>
          <w:p w14:paraId="7DF7B833">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4、功能：</w:t>
            </w:r>
          </w:p>
          <w:p w14:paraId="4C5B1049">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（1）操作力：（当 M＜40kg时，推力或拉力≤50N）合格；</w:t>
            </w:r>
          </w:p>
          <w:p w14:paraId="5E09820E">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（2）抽屉导轨组件底部变形(商用型：载荷15kg)：变形量不应超过内部尺寸(宽度和深度)最窄部分的1/200；</w:t>
            </w:r>
          </w:p>
          <w:p w14:paraId="65D9814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（3）抽屉导轨组件结构强度(商用型：载荷200N)合格。</w:t>
            </w:r>
          </w:p>
          <w:p w14:paraId="73FE5108">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5、耐腐蚀：≥360h，0锈点。</w:t>
            </w:r>
          </w:p>
          <w:p w14:paraId="2C8336F8">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6、理化性能（金属喷漆(塑)涂层）：（铅笔硬度H）合格；附着力0级。                                                       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67A68BF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http://cx.cnca.cn/CertECloud/qts/qts/qtsPage?showMode=2）的有效查询 网址，检测报告为带 CMA 或 CNAS 标识的检测机构出具的检测报告，检验 报告中受检（或委托）单位应与投标人或生产厂家一致。完全满足得 3 分，其余不得分。</w:t>
            </w:r>
          </w:p>
        </w:tc>
      </w:tr>
      <w:tr w14:paraId="554FE57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26" w:type="dxa"/>
            <w:tcBorders>
              <w:top w:val="outset" w:color="auto" w:sz="6" w:space="0"/>
              <w:left w:val="outset" w:color="auto" w:sz="6" w:space="0"/>
              <w:bottom w:val="outset" w:color="auto" w:sz="6" w:space="0"/>
              <w:right w:val="outset" w:color="auto" w:sz="6" w:space="0"/>
            </w:tcBorders>
            <w:noWrap w:val="0"/>
            <w:vAlign w:val="center"/>
          </w:tcPr>
          <w:p w14:paraId="2D0C0ED2">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44B71E37">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64AED1BC">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根据投标人提供的由第三方检测机构出具的“木塑衣柜门板”检测报告，产品检测需依据以下标准执行：</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依据《抗菌和抑菌效果评价方法》、《环境试验 第2部分：试验方法 试验Cab：恒定湿热试验》、《建材产品中半挥发性有机化合物（SVOC）释放量的测试》，检测项目内容至少包含：</w:t>
            </w:r>
          </w:p>
          <w:p w14:paraId="64C909B3">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1、抗菌效果：①贴膜试验-抗菌活性值（抗菌率）-大肠杆菌：抗菌活性值：≥2，抗菌率：≥99%；②贴膜试验-抗菌活性值（抗菌率）-肺炎克雷伯氏菌：抗菌活性值：≥2，抗菌率：≥99%。</w:t>
            </w:r>
          </w:p>
          <w:p w14:paraId="7461D00C">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2、恒温恒湿试验或恒定湿热试验（≥360h）：试验后，试样表面应无开裂。</w:t>
            </w:r>
          </w:p>
          <w:p w14:paraId="672A9D24">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3、总半挥发性有机化合物(TSVOC)释放量：≤150μg/(㎡・h)。</w:t>
            </w:r>
          </w:p>
          <w:p w14:paraId="75BB571A">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2CBE5CEF">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http://cx.cnca.cn/CertECloud/qts/qts/qtsPage?showMode=2）的有效查询 网址，检测报告为带 CMA 或 CNAS 标识的检测机构出具的检测报告，检验 报告中受检（或委托）单位应与投标人或生产厂家一致。完全满足得 3 分，其余不得分。</w:t>
            </w:r>
          </w:p>
        </w:tc>
      </w:tr>
      <w:tr w14:paraId="3D9589F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26" w:type="dxa"/>
            <w:tcBorders>
              <w:top w:val="outset" w:color="auto" w:sz="6" w:space="0"/>
              <w:left w:val="outset" w:color="auto" w:sz="6" w:space="0"/>
              <w:bottom w:val="outset" w:color="auto" w:sz="6" w:space="0"/>
              <w:right w:val="outset" w:color="auto" w:sz="6" w:space="0"/>
            </w:tcBorders>
            <w:noWrap w:val="0"/>
            <w:vAlign w:val="center"/>
          </w:tcPr>
          <w:p w14:paraId="557D79C1">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069ECD06">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389A4CFF">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根据投标人提供的由第三方检测机构出具的“多功能安全护栏”检测报告，产品检测需依据以下标准执行：</w:t>
            </w:r>
          </w:p>
          <w:p w14:paraId="59FF9D47">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依据《塑料 耐液体化学试剂性能的测定》、《塑料 暴露于湿热、水喷雾和盐雾中影响的测定》、《环境试验 第2部分：试验方法 试验Cab：恒定湿热试验》，检测项目内容至少包含：</w:t>
            </w:r>
          </w:p>
          <w:p w14:paraId="0F248836">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1、耐清洗液≥360h：①外观：无开裂、起泡、发黏等缺陷；②质量变化率：≤2%；③厚度变化率：≤2%。</w:t>
            </w:r>
          </w:p>
          <w:p w14:paraId="54AEA716">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2、耐盐雾性≥360h：①外观：无开裂、起泡；②质量变化率：≤2%；③厚度变化率：≤2%。</w:t>
            </w:r>
          </w:p>
          <w:p w14:paraId="5A824C2F">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3、恒温恒湿试验或恒定湿热试验（≥360h）：试验后，试样表面应无开裂。</w:t>
            </w:r>
          </w:p>
          <w:p w14:paraId="2E310859">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38037B61">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http://cx.cnca.cn/CertECloud/qts/qts/qtsPage?showMode=2）的有效查询 网址，检测报告为带 CMA 或 CNAS 标识的检测机构出具的检测报告，检验 报告中受检（或委托）单位应与投标人或生产厂家一致。完全满足得 3 分，其余不得分。</w:t>
            </w:r>
          </w:p>
        </w:tc>
      </w:tr>
      <w:tr w14:paraId="1A53BA1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26" w:type="dxa"/>
            <w:tcBorders>
              <w:top w:val="outset" w:color="auto" w:sz="6" w:space="0"/>
              <w:left w:val="outset" w:color="auto" w:sz="6" w:space="0"/>
              <w:bottom w:val="outset" w:color="auto" w:sz="6" w:space="0"/>
              <w:right w:val="outset" w:color="auto" w:sz="6" w:space="0"/>
            </w:tcBorders>
            <w:noWrap w:val="0"/>
            <w:vAlign w:val="center"/>
          </w:tcPr>
          <w:p w14:paraId="29FD816A">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41D5F881">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5270EA6B">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根据投标人提供的由第三方检测机构出具的“组合式公寓床(铁架)”检测报告，产品检测需依据以下标准执行：</w:t>
            </w:r>
          </w:p>
          <w:p w14:paraId="5D0F78E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依据：《轻工产品金属镀层和化学处理层的耐腐蚀试验方法 中性盐雾试验（NSS）法》、《轻工产品金属镀层腐蚀试验结果的评价》、《人造气氛腐蚀试验 盐雾试验》、《绿色产品评价 家具》、《金属家具通用技术条件》、《建筑材料及制品燃烧性能分级》，检测项目内容至少包含：</w:t>
            </w:r>
          </w:p>
          <w:p w14:paraId="6A983DD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1、耐腐蚀试验：</w:t>
            </w:r>
          </w:p>
          <w:p w14:paraId="6FF39490">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①中性盐雾试验（NSS）法-24h：涂（镀）层本身的耐腐蚀等级≥10级、涂（镀）层对基体的保护等级≥10级。</w:t>
            </w:r>
          </w:p>
          <w:p w14:paraId="06C0F09B">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②乙酸盐雾试验（AASS试验）-24h：涂（镀）层本身的耐腐蚀等级≥10级、涂（镀）层对基体的保护等级≥10级。</w:t>
            </w:r>
          </w:p>
          <w:p w14:paraId="004C4A9A">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甲醛释放量：≤0.05mg/m³。</w:t>
            </w:r>
          </w:p>
          <w:p w14:paraId="572904AD">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3、理化性能（金属件表面涂层）：</w:t>
            </w:r>
          </w:p>
          <w:p w14:paraId="0739FC1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①耐湿热：(47士1)℃，(96士2)%RH，48h，应无锈蚀、鼓泡、剥落现象。</w:t>
            </w:r>
          </w:p>
          <w:p w14:paraId="6764D5D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②耐腐蚀：100h内，观察在溶剂中样板上划道两侧3mm以外，应无气泡产生；100h后，检查划道两侧3mm以外，应无锈迹、剥落、起皱、变色和失光等现象。</w:t>
            </w:r>
          </w:p>
          <w:p w14:paraId="5E000B9E">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4、燃烧性能：热释放速率峰值≤40kW；5min内总热释放量≤10MJ；最大烟密度≤40%。</w:t>
            </w:r>
          </w:p>
          <w:p w14:paraId="52AD64FB">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5、理化性能（金属喷漆(塑)涂层）：硬度（铅笔硬度H）合格；冲击强度（冲击高度400mm）合格；附着力0级。</w:t>
            </w:r>
          </w:p>
          <w:p w14:paraId="38E10D42">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6、环境属性：产品有害物质［苯、甲苯、二甲苯、总挥发性有机化合物（TVOC）］均未检出；家具涂层可迁移元素（铅、镉、铬、汞、锑、钡、硒、砷）均合格。</w:t>
            </w:r>
          </w:p>
          <w:p w14:paraId="057EF750">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2231CC46">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http://cx.cnca.cn/CertECloud/qts/qts/qtsPage?showMode=2）的有效查询 网址，检测报告为带 CMA 或 CNAS 标识的检测机构出具的检测报告，检验 报告中受检（或委托）单位应与投标人或生产厂家一致。完全满足得 3 分，其余不得分。</w:t>
            </w:r>
          </w:p>
        </w:tc>
      </w:tr>
      <w:tr w14:paraId="5EB661E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01" w:hRule="atLeast"/>
        </w:trPr>
        <w:tc>
          <w:tcPr>
            <w:tcW w:w="726" w:type="dxa"/>
            <w:tcBorders>
              <w:top w:val="outset" w:color="auto" w:sz="6" w:space="0"/>
              <w:left w:val="outset" w:color="auto" w:sz="6" w:space="0"/>
              <w:bottom w:val="outset" w:color="auto" w:sz="6" w:space="0"/>
              <w:right w:val="outset" w:color="auto" w:sz="6" w:space="0"/>
            </w:tcBorders>
            <w:noWrap w:val="0"/>
            <w:vAlign w:val="center"/>
          </w:tcPr>
          <w:p w14:paraId="654D7D77">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w:t>
            </w:r>
          </w:p>
        </w:tc>
        <w:tc>
          <w:tcPr>
            <w:tcW w:w="553" w:type="dxa"/>
            <w:tcBorders>
              <w:top w:val="outset" w:color="auto" w:sz="6" w:space="0"/>
              <w:left w:val="outset" w:color="auto" w:sz="6" w:space="0"/>
              <w:bottom w:val="outset" w:color="auto" w:sz="6" w:space="0"/>
              <w:right w:val="outset" w:color="auto" w:sz="6" w:space="0"/>
            </w:tcBorders>
            <w:noWrap w:val="0"/>
            <w:vAlign w:val="center"/>
          </w:tcPr>
          <w:p w14:paraId="178B077A">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53005E9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根据投标人提供的由第三方检测机构出具的“公寓杉木床铺板”检测报告，产品检测需依据以下标准执行：</w:t>
            </w:r>
          </w:p>
          <w:p w14:paraId="058581D2">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依据GB/T 3324-2024《木家具通用技术条件》、GB/T 35601-2024《绿色产品评价 人造板和木质地板》、GB/T 35607-2024《绿色产品评价 家具》、GB/T 39600-2021《人造板及其制品甲醛释放量分级》、GB/T 29899-2024《人造板及其制品中挥发性有机化合物释放量试验方法 小型释放舱法》、LY/T 1985-2011《防腐木材和人造板中五氯苯酚含量的测定方法》标准，检测项目内容至少包含：</w:t>
            </w:r>
          </w:p>
          <w:p w14:paraId="14A4DD0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1、外观要求：</w:t>
            </w:r>
          </w:p>
          <w:p w14:paraId="5C39B3A5">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①木材（贯通裂缝、虫蛀、腐朽材、树脂囊、节子、死节、孔洞、夹皮和树脂道、树胶道、其他轻微材质缺陷）合格。</w:t>
            </w:r>
          </w:p>
          <w:p w14:paraId="5FAE1F7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②木工要求：板件或部件在接触人体或贮物部位不应有毛刺、刃口或棱角；板件或部件的外表应光滑，倒棱、圆角、线应均匀一致。</w:t>
            </w:r>
          </w:p>
          <w:p w14:paraId="428A6C8F">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2、材料要求：木材含水率≤12%。</w:t>
            </w:r>
          </w:p>
          <w:p w14:paraId="60A14662">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3、甲醛释放量≤0.05mg/m³。</w:t>
            </w:r>
          </w:p>
          <w:p w14:paraId="435C3FA1">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4、挥发性有机化合物释放浓度（7d）［苯、甲苯、二甲苯、总挥发性有机化合物（TVOC）］均未检出。</w:t>
            </w:r>
          </w:p>
          <w:p w14:paraId="00A071D3">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5、产品有害物质：家具涂层可迁移元素（铅、镉、铬、汞、锑、钡、硒、砷）均未检出。</w:t>
            </w:r>
          </w:p>
          <w:p w14:paraId="2AA22093">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6、有害物质：五氯苯酚未检出。</w:t>
            </w:r>
          </w:p>
          <w:p w14:paraId="048B6C2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7、家具用木质材料有害物质：无机砷未检出。</w:t>
            </w:r>
          </w:p>
          <w:p w14:paraId="420C3CBC">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24E99F69">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http://cx.cnca.cn/CertECloud/qts/qts/qtsPage?showMode=2）的有效查询 网址，检测报告为带 CMA 或 CNAS 标识的检测机构出具的检测报告，检验 报告中受检（或委托）单位应与投标人或生产厂家一致。完全满足得 3 分，其余不得分。</w:t>
            </w:r>
          </w:p>
        </w:tc>
      </w:tr>
      <w:tr w14:paraId="716379D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26" w:type="dxa"/>
            <w:tcBorders>
              <w:top w:val="outset" w:color="auto" w:sz="6" w:space="0"/>
              <w:left w:val="outset" w:color="auto" w:sz="6" w:space="0"/>
              <w:bottom w:val="single" w:color="auto" w:sz="4" w:space="0"/>
              <w:right w:val="outset" w:color="auto" w:sz="6" w:space="0"/>
            </w:tcBorders>
            <w:noWrap w:val="0"/>
            <w:vAlign w:val="center"/>
          </w:tcPr>
          <w:p w14:paraId="45BA42AE">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w:t>
            </w:r>
          </w:p>
          <w:p w14:paraId="2D67F3A3">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p>
        </w:tc>
        <w:tc>
          <w:tcPr>
            <w:tcW w:w="553" w:type="dxa"/>
            <w:tcBorders>
              <w:top w:val="outset" w:color="auto" w:sz="6" w:space="0"/>
              <w:left w:val="outset" w:color="auto" w:sz="6" w:space="0"/>
              <w:bottom w:val="single" w:color="auto" w:sz="4" w:space="0"/>
              <w:right w:val="outset" w:color="auto" w:sz="6" w:space="0"/>
            </w:tcBorders>
            <w:noWrap w:val="0"/>
            <w:vAlign w:val="center"/>
          </w:tcPr>
          <w:p w14:paraId="5C96E963">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7676DE25">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据投标人提供的样品的质量情况进行评价：样品焊接接缝，不容易变形的得2分；样品有细微变形得1.5分。样品存在较大缺陷或不符合项目需求的不得分。</w:t>
            </w:r>
          </w:p>
        </w:tc>
      </w:tr>
      <w:tr w14:paraId="6960572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13" w:hRule="atLeast"/>
        </w:trPr>
        <w:tc>
          <w:tcPr>
            <w:tcW w:w="726" w:type="dxa"/>
            <w:tcBorders>
              <w:top w:val="single" w:color="auto" w:sz="4" w:space="0"/>
              <w:left w:val="outset" w:color="auto" w:sz="6" w:space="0"/>
              <w:bottom w:val="single" w:color="auto" w:sz="4" w:space="0"/>
              <w:right w:val="outset" w:color="auto" w:sz="6" w:space="0"/>
            </w:tcBorders>
            <w:noWrap w:val="0"/>
            <w:vAlign w:val="center"/>
          </w:tcPr>
          <w:p w14:paraId="117DCDFA">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17</w:t>
            </w:r>
          </w:p>
        </w:tc>
        <w:tc>
          <w:tcPr>
            <w:tcW w:w="553" w:type="dxa"/>
            <w:tcBorders>
              <w:top w:val="single" w:color="auto" w:sz="4" w:space="0"/>
              <w:left w:val="outset" w:color="auto" w:sz="6" w:space="0"/>
              <w:bottom w:val="single" w:color="auto" w:sz="4" w:space="0"/>
              <w:right w:val="outset" w:color="auto" w:sz="6" w:space="0"/>
            </w:tcBorders>
            <w:noWrap w:val="0"/>
            <w:vAlign w:val="center"/>
          </w:tcPr>
          <w:p w14:paraId="2433B37E">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7801" w:type="dxa"/>
            <w:tcBorders>
              <w:left w:val="outset" w:color="auto" w:sz="6" w:space="0"/>
              <w:bottom w:val="outset" w:color="auto" w:sz="6" w:space="0"/>
              <w:right w:val="outset" w:color="auto" w:sz="6" w:space="0"/>
            </w:tcBorders>
            <w:shd w:val="clear" w:color="auto" w:fill="auto"/>
            <w:noWrap w:val="0"/>
            <w:vAlign w:val="center"/>
          </w:tcPr>
          <w:p w14:paraId="0C338530">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提供的木质件无蛀虫现象、外表无腐朽材、无贯通裂缝、薄木、塑料等材料贴面应无明显透胶、脱胶、凹陷、压痕、鼓泡、胶迹得2分，有细微缺陷【存在但不限于：蛀虫现象或外表腐朽材或贯通裂缝或薄木或塑料等材料贴面或有透胶或脱胶或凹陷或压痕或鼓泡或胶迹现象等】得1.5分。样品存在较大缺陷或不符合项目需求的不得分。</w:t>
            </w:r>
          </w:p>
        </w:tc>
      </w:tr>
      <w:tr w14:paraId="009A132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26" w:type="dxa"/>
            <w:tcBorders>
              <w:top w:val="single" w:color="auto" w:sz="4" w:space="0"/>
              <w:left w:val="outset" w:color="auto" w:sz="6" w:space="0"/>
              <w:bottom w:val="single" w:color="auto" w:sz="4" w:space="0"/>
              <w:right w:val="outset" w:color="auto" w:sz="6" w:space="0"/>
            </w:tcBorders>
            <w:noWrap w:val="0"/>
            <w:vAlign w:val="center"/>
          </w:tcPr>
          <w:p w14:paraId="7142580A">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18</w:t>
            </w:r>
          </w:p>
        </w:tc>
        <w:tc>
          <w:tcPr>
            <w:tcW w:w="553" w:type="dxa"/>
            <w:tcBorders>
              <w:top w:val="single" w:color="auto" w:sz="4" w:space="0"/>
              <w:left w:val="outset" w:color="auto" w:sz="6" w:space="0"/>
              <w:bottom w:val="single" w:color="auto" w:sz="4" w:space="0"/>
              <w:right w:val="outset" w:color="auto" w:sz="6" w:space="0"/>
            </w:tcBorders>
            <w:noWrap w:val="0"/>
            <w:vAlign w:val="center"/>
          </w:tcPr>
          <w:p w14:paraId="0C47DFDE">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2C1BF8A5">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提供样品中连接件安装不应有少件、漏钉、透钉（预留孔、选择孔除外）且安装应严密、平整、端正、牢固，结合处应无开裂或松动的得3分，有细微缺陷【存在但不限于：少件或漏钉或透钉（预留孔、选择孔除外）或安装不严密或不平整或不端正或不牢固，结合开裂或松动现象等】得2分。样品存在较大缺陷或不符合项目需求的不得分。</w:t>
            </w:r>
          </w:p>
        </w:tc>
      </w:tr>
      <w:tr w14:paraId="18746A8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26" w:type="dxa"/>
            <w:tcBorders>
              <w:top w:val="single" w:color="auto" w:sz="4" w:space="0"/>
              <w:left w:val="outset" w:color="auto" w:sz="6" w:space="0"/>
              <w:bottom w:val="single" w:color="auto" w:sz="4" w:space="0"/>
              <w:right w:val="outset" w:color="auto" w:sz="6" w:space="0"/>
            </w:tcBorders>
            <w:noWrap w:val="0"/>
            <w:vAlign w:val="center"/>
          </w:tcPr>
          <w:p w14:paraId="5A879AEB">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w:t>
            </w:r>
          </w:p>
        </w:tc>
        <w:tc>
          <w:tcPr>
            <w:tcW w:w="553" w:type="dxa"/>
            <w:tcBorders>
              <w:top w:val="single" w:color="auto" w:sz="4" w:space="0"/>
              <w:left w:val="outset" w:color="auto" w:sz="6" w:space="0"/>
              <w:bottom w:val="single" w:color="auto" w:sz="4" w:space="0"/>
              <w:right w:val="outset" w:color="auto" w:sz="6" w:space="0"/>
            </w:tcBorders>
            <w:noWrap w:val="0"/>
            <w:vAlign w:val="center"/>
          </w:tcPr>
          <w:p w14:paraId="45344BED">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0409F9A0">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提供样品漆膜要求：同色部件的色泽应相似、应无褪色、掉色现象、涂层不应有皱皮、发粘或漏漆现象、涂层应平整光滑、清晰、无明显粒子、涨边现象；应无明显加工痕迹、划痕、雾光、白棱、白点、鼓泡、油白、 流挂、缩孔、刷毛、积粉和杂渣得2分，有细微缺陷【存在但不限于：同色部件的色泽不相似或褪色或掉色现象或涂层皱皮或发粘或漏漆现象或涂层不平整光滑或不清晰或粒子或涨边现象或划痕或雾光或白棱或白点或鼓泡或油白或流挂或缩孔或刷毛或积粉或杂渣等】得1.5分。样品存在较大缺陷或不符合项目需求的不得分。</w:t>
            </w:r>
          </w:p>
        </w:tc>
      </w:tr>
      <w:tr w14:paraId="2733DE7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26" w:type="dxa"/>
            <w:tcBorders>
              <w:top w:val="single" w:color="auto" w:sz="4" w:space="0"/>
              <w:left w:val="outset" w:color="auto" w:sz="6" w:space="0"/>
              <w:bottom w:val="single" w:color="auto" w:sz="4" w:space="0"/>
              <w:right w:val="outset" w:color="auto" w:sz="6" w:space="0"/>
            </w:tcBorders>
            <w:noWrap w:val="0"/>
            <w:vAlign w:val="center"/>
          </w:tcPr>
          <w:p w14:paraId="09628A43">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20</w:t>
            </w:r>
          </w:p>
        </w:tc>
        <w:tc>
          <w:tcPr>
            <w:tcW w:w="553" w:type="dxa"/>
            <w:tcBorders>
              <w:top w:val="single" w:color="auto" w:sz="4" w:space="0"/>
              <w:left w:val="outset" w:color="auto" w:sz="6" w:space="0"/>
              <w:bottom w:val="single" w:color="auto" w:sz="4" w:space="0"/>
              <w:right w:val="outset" w:color="auto" w:sz="6" w:space="0"/>
            </w:tcBorders>
            <w:noWrap w:val="0"/>
            <w:vAlign w:val="center"/>
          </w:tcPr>
          <w:p w14:paraId="1CCA65C4">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7801" w:type="dxa"/>
            <w:tcBorders>
              <w:top w:val="outset" w:color="auto" w:sz="6" w:space="0"/>
              <w:left w:val="outset" w:color="auto" w:sz="6" w:space="0"/>
              <w:bottom w:val="outset" w:color="auto" w:sz="6" w:space="0"/>
              <w:right w:val="outset" w:color="auto" w:sz="6" w:space="0"/>
            </w:tcBorders>
            <w:noWrap w:val="0"/>
            <w:vAlign w:val="center"/>
          </w:tcPr>
          <w:p w14:paraId="33323C45">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根据提供样品的是否有刺激性气味及有毒有害气味等进行评价：样品无刺激性气味及有毒有害气味的得2分；无明显刺激性气味，不影响采购人日常使用的1.5分；样品存在较大缺陷或不符合项目需求的不得分。</w:t>
            </w:r>
          </w:p>
        </w:tc>
      </w:tr>
    </w:tbl>
    <w:p w14:paraId="160F1498">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7EC5699C">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tbl>
      <w:tblPr>
        <w:tblStyle w:val="11"/>
        <w:tblW w:w="0" w:type="auto"/>
        <w:tblInd w:w="-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22"/>
        <w:gridCol w:w="537"/>
        <w:gridCol w:w="7427"/>
      </w:tblGrid>
      <w:tr w14:paraId="5983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522" w:type="dxa"/>
            <w:tcBorders>
              <w:tl2br w:val="nil"/>
              <w:tr2bl w:val="nil"/>
            </w:tcBorders>
            <w:noWrap w:val="0"/>
            <w:vAlign w:val="center"/>
          </w:tcPr>
          <w:p w14:paraId="3189CB51">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评标项目</w:t>
            </w:r>
          </w:p>
        </w:tc>
        <w:tc>
          <w:tcPr>
            <w:tcW w:w="537" w:type="dxa"/>
            <w:tcBorders>
              <w:tl2br w:val="nil"/>
              <w:tr2bl w:val="nil"/>
            </w:tcBorders>
            <w:noWrap w:val="0"/>
            <w:vAlign w:val="center"/>
          </w:tcPr>
          <w:p w14:paraId="2CFB7861">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评标分值</w:t>
            </w:r>
          </w:p>
        </w:tc>
        <w:tc>
          <w:tcPr>
            <w:tcW w:w="7427" w:type="dxa"/>
            <w:tcBorders>
              <w:tl2br w:val="nil"/>
              <w:tr2bl w:val="nil"/>
            </w:tcBorders>
            <w:noWrap w:val="0"/>
            <w:vAlign w:val="center"/>
          </w:tcPr>
          <w:p w14:paraId="22B72E15">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评标方法描述</w:t>
            </w:r>
          </w:p>
        </w:tc>
      </w:tr>
      <w:tr w14:paraId="6462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22" w:type="dxa"/>
            <w:tcBorders>
              <w:tl2br w:val="nil"/>
              <w:tr2bl w:val="nil"/>
            </w:tcBorders>
            <w:noWrap w:val="0"/>
            <w:vAlign w:val="center"/>
          </w:tcPr>
          <w:p w14:paraId="0C9AA955">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537" w:type="dxa"/>
            <w:tcBorders>
              <w:tl2br w:val="nil"/>
              <w:tr2bl w:val="nil"/>
            </w:tcBorders>
            <w:noWrap w:val="0"/>
            <w:vAlign w:val="center"/>
          </w:tcPr>
          <w:p w14:paraId="66F58101">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7427" w:type="dxa"/>
            <w:tcBorders>
              <w:tl2br w:val="nil"/>
              <w:tr2bl w:val="nil"/>
            </w:tcBorders>
            <w:noWrap w:val="0"/>
            <w:vAlign w:val="center"/>
          </w:tcPr>
          <w:p w14:paraId="6257D621">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投标人具有质量管理体系认证证书的得1分，需提供有效期内的证书扫描件并加盖投标人公章，否则不得分。</w:t>
            </w:r>
          </w:p>
        </w:tc>
      </w:tr>
      <w:tr w14:paraId="2F81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22" w:type="dxa"/>
            <w:tcBorders>
              <w:tl2br w:val="nil"/>
              <w:tr2bl w:val="nil"/>
            </w:tcBorders>
            <w:noWrap w:val="0"/>
            <w:vAlign w:val="center"/>
          </w:tcPr>
          <w:p w14:paraId="6CE82765">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537" w:type="dxa"/>
            <w:tcBorders>
              <w:tl2br w:val="nil"/>
              <w:tr2bl w:val="nil"/>
            </w:tcBorders>
            <w:noWrap w:val="0"/>
            <w:vAlign w:val="center"/>
          </w:tcPr>
          <w:p w14:paraId="132F0A11">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7427" w:type="dxa"/>
            <w:tcBorders>
              <w:tl2br w:val="nil"/>
              <w:tr2bl w:val="nil"/>
            </w:tcBorders>
            <w:noWrap w:val="0"/>
            <w:vAlign w:val="center"/>
          </w:tcPr>
          <w:p w14:paraId="2D74092C">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投标人具有环境管理体系认证证书的得1分，需提供有效期内的证书扫描件并加盖投标人公章，否则不得分。</w:t>
            </w:r>
          </w:p>
        </w:tc>
      </w:tr>
      <w:tr w14:paraId="74D43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22" w:type="dxa"/>
            <w:tcBorders>
              <w:tl2br w:val="nil"/>
              <w:tr2bl w:val="nil"/>
            </w:tcBorders>
            <w:noWrap w:val="0"/>
            <w:vAlign w:val="center"/>
          </w:tcPr>
          <w:p w14:paraId="76107831">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537" w:type="dxa"/>
            <w:tcBorders>
              <w:tl2br w:val="nil"/>
              <w:tr2bl w:val="nil"/>
            </w:tcBorders>
            <w:noWrap w:val="0"/>
            <w:vAlign w:val="center"/>
          </w:tcPr>
          <w:p w14:paraId="2E6E03D0">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7427" w:type="dxa"/>
            <w:tcBorders>
              <w:tl2br w:val="nil"/>
              <w:tr2bl w:val="nil"/>
            </w:tcBorders>
            <w:noWrap w:val="0"/>
            <w:vAlign w:val="center"/>
          </w:tcPr>
          <w:p w14:paraId="06608955">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投标人具有职业健康安全管理体系认证证书的得1分，需提供有效期内的证书扫描件并加盖投标人公章，否则不得分。</w:t>
            </w:r>
          </w:p>
        </w:tc>
      </w:tr>
      <w:tr w14:paraId="73AE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22" w:type="dxa"/>
            <w:tcBorders>
              <w:tl2br w:val="nil"/>
              <w:tr2bl w:val="nil"/>
            </w:tcBorders>
            <w:noWrap w:val="0"/>
            <w:vAlign w:val="center"/>
          </w:tcPr>
          <w:p w14:paraId="2C8FBB53">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w:t>
            </w:r>
          </w:p>
        </w:tc>
        <w:tc>
          <w:tcPr>
            <w:tcW w:w="537" w:type="dxa"/>
            <w:tcBorders>
              <w:tl2br w:val="nil"/>
              <w:tr2bl w:val="nil"/>
            </w:tcBorders>
            <w:noWrap w:val="0"/>
            <w:vAlign w:val="center"/>
          </w:tcPr>
          <w:p w14:paraId="2B835EF9">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427" w:type="dxa"/>
            <w:tcBorders>
              <w:tl2br w:val="nil"/>
              <w:tr2bl w:val="nil"/>
            </w:tcBorders>
            <w:noWrap w:val="0"/>
            <w:vAlign w:val="center"/>
          </w:tcPr>
          <w:p w14:paraId="74DFBB60">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针对本项目投标人编制各项管理制度（包括但不限于：内部管理制度、作业管理制度、安全管理制度，应结合本项目实际情况制定）、组织架构（包括但不限于：职能结构、层次结构、部门结构、职权结构）根据上述内容提供管理制度及组织架构得3分；未提供方案或方案不可行或措施方案不符合项目需求的不得分</w:t>
            </w:r>
          </w:p>
        </w:tc>
      </w:tr>
      <w:tr w14:paraId="713E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22" w:type="dxa"/>
            <w:tcBorders>
              <w:tl2br w:val="nil"/>
              <w:tr2bl w:val="nil"/>
            </w:tcBorders>
            <w:noWrap w:val="0"/>
            <w:vAlign w:val="center"/>
          </w:tcPr>
          <w:p w14:paraId="444AD94F">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w:t>
            </w:r>
          </w:p>
        </w:tc>
        <w:tc>
          <w:tcPr>
            <w:tcW w:w="537" w:type="dxa"/>
            <w:tcBorders>
              <w:tl2br w:val="nil"/>
              <w:tr2bl w:val="nil"/>
            </w:tcBorders>
            <w:noWrap w:val="0"/>
            <w:vAlign w:val="center"/>
          </w:tcPr>
          <w:p w14:paraId="31C9B58B">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427" w:type="dxa"/>
            <w:tcBorders>
              <w:tl2br w:val="nil"/>
              <w:tr2bl w:val="nil"/>
            </w:tcBorders>
            <w:noWrap w:val="0"/>
            <w:vAlign w:val="center"/>
          </w:tcPr>
          <w:p w14:paraId="732896EB">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根据投标人保修承诺进行评价：保修期满足招标文件要求的基础上，每增加一年加1.5分，满分3分。</w:t>
            </w:r>
          </w:p>
        </w:tc>
      </w:tr>
      <w:tr w14:paraId="1AB89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22" w:type="dxa"/>
            <w:tcBorders>
              <w:tl2br w:val="nil"/>
              <w:tr2bl w:val="nil"/>
            </w:tcBorders>
            <w:noWrap w:val="0"/>
            <w:vAlign w:val="center"/>
          </w:tcPr>
          <w:p w14:paraId="5A999E4B">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w:t>
            </w:r>
          </w:p>
        </w:tc>
        <w:tc>
          <w:tcPr>
            <w:tcW w:w="537" w:type="dxa"/>
            <w:tcBorders>
              <w:tl2br w:val="nil"/>
              <w:tr2bl w:val="nil"/>
            </w:tcBorders>
            <w:noWrap w:val="0"/>
            <w:vAlign w:val="center"/>
          </w:tcPr>
          <w:p w14:paraId="2F70ECC5">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427" w:type="dxa"/>
            <w:tcBorders>
              <w:tl2br w:val="nil"/>
              <w:tr2bl w:val="nil"/>
            </w:tcBorders>
            <w:noWrap w:val="0"/>
            <w:vAlign w:val="center"/>
          </w:tcPr>
          <w:p w14:paraId="51B52CFA">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货物进场及清退管理措施的方案进行评价：内容详尽具体，描述准确，对进场及退场可能涉及的难点进行分析，针对采购人实际情况提出对策，符合现场实际情况的得3分；未完整提供的不得分。</w:t>
            </w:r>
          </w:p>
        </w:tc>
      </w:tr>
      <w:tr w14:paraId="1E38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22" w:type="dxa"/>
            <w:tcBorders>
              <w:tl2br w:val="nil"/>
              <w:tr2bl w:val="nil"/>
            </w:tcBorders>
            <w:noWrap w:val="0"/>
            <w:vAlign w:val="center"/>
          </w:tcPr>
          <w:p w14:paraId="668CA1BE">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w:t>
            </w:r>
          </w:p>
        </w:tc>
        <w:tc>
          <w:tcPr>
            <w:tcW w:w="537" w:type="dxa"/>
            <w:tcBorders>
              <w:tl2br w:val="nil"/>
              <w:tr2bl w:val="nil"/>
            </w:tcBorders>
            <w:noWrap w:val="0"/>
            <w:vAlign w:val="center"/>
          </w:tcPr>
          <w:p w14:paraId="17630126">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427" w:type="dxa"/>
            <w:tcBorders>
              <w:tl2br w:val="nil"/>
              <w:tr2bl w:val="nil"/>
            </w:tcBorders>
            <w:noWrap w:val="0"/>
            <w:vAlign w:val="center"/>
          </w:tcPr>
          <w:p w14:paraId="16314CED">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根据投标人提供的质量保证措施和不合格货物退换方案进行评价：</w:t>
            </w:r>
          </w:p>
          <w:p w14:paraId="1EA28A2A">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对该项内容有做出响应，措施合理，符合本项目要求的得3分；</w:t>
            </w:r>
          </w:p>
          <w:p w14:paraId="13E1CDEB">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未提供或不符合上述情况的得0分。</w:t>
            </w:r>
          </w:p>
        </w:tc>
      </w:tr>
    </w:tbl>
    <w:p w14:paraId="487E320D">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38D3C10E">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14:paraId="689701A6">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“小型和微型企业产品”的评分政策：</w:t>
      </w:r>
    </w:p>
    <w:p w14:paraId="49B28530">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投标人提供的货物既有中型企业制造，也有小微企业制造的，不享受办法规定的小微企业扶持政策。</w:t>
      </w:r>
    </w:p>
    <w:p w14:paraId="51D05134">
      <w:pPr>
        <w:pStyle w:val="5"/>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对其提供的小型或微型企业产品的投标报价给予20%的扣除，扣除后的价格作为该投标人的评标价参与价格评分。</w:t>
      </w:r>
    </w:p>
    <w:p w14:paraId="7BABEA1A">
      <w:pPr>
        <w:pStyle w:val="5"/>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、采购代理机构应当对联合体或者大中型企业的报价给予6%的扣除，用扣除后的价格参加评审。</w:t>
      </w:r>
    </w:p>
    <w:p w14:paraId="3C0FF5ED">
      <w:pPr>
        <w:pStyle w:val="10"/>
        <w:numPr>
          <w:ilvl w:val="-1"/>
          <w:numId w:val="0"/>
        </w:numP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704B417A">
      <w:pPr>
        <w:numPr>
          <w:ilvl w:val="-1"/>
          <w:numId w:val="0"/>
        </w:numPr>
        <w:tabs>
          <w:tab w:val="left" w:pos="-1080"/>
          <w:tab w:val="left" w:pos="180"/>
          <w:tab w:val="left" w:pos="108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2、</w:t>
      </w:r>
      <w:r>
        <w:rPr>
          <w:rFonts w:hint="eastAsia" w:ascii="宋体" w:hAnsi="宋体" w:eastAsia="宋体" w:cs="宋体"/>
          <w:b/>
          <w:bCs/>
          <w:color w:val="auto"/>
          <w:sz w:val="24"/>
          <w:szCs w:val="24"/>
          <w:highlight w:val="none"/>
          <w:lang w:val="en-US" w:eastAsia="zh-CN"/>
        </w:rPr>
        <w:t>节能、环境标志产品价格扣除：</w:t>
      </w:r>
    </w:p>
    <w:p w14:paraId="3877D03A">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130DCCDF">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具体要求如下：</w:t>
      </w:r>
    </w:p>
    <w:p w14:paraId="4361B151">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48851142">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投标人应分别明确节能或环境标志产品的名称、数量、分项报价、总报价，并提供认证证书</w:t>
      </w:r>
      <w:r>
        <w:rPr>
          <w:rFonts w:hint="eastAsia" w:ascii="宋体" w:hAnsi="宋体" w:cs="宋体"/>
          <w:color w:val="auto"/>
          <w:sz w:val="24"/>
          <w:szCs w:val="24"/>
          <w:highlight w:val="none"/>
          <w:lang w:eastAsia="zh-CN"/>
        </w:rPr>
        <w:t>扫描件</w:t>
      </w:r>
      <w:r>
        <w:rPr>
          <w:rFonts w:hint="eastAsia" w:ascii="宋体" w:hAnsi="宋体" w:eastAsia="宋体" w:cs="宋体"/>
          <w:color w:val="auto"/>
          <w:sz w:val="24"/>
          <w:szCs w:val="24"/>
          <w:highlight w:val="none"/>
        </w:rPr>
        <w:t>，否则不予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若节能产品、环境标志产品认证证书不能反映产品具体信息的，须提供认证证书附件。</w:t>
      </w:r>
      <w:r>
        <w:rPr>
          <w:rFonts w:hint="eastAsia" w:ascii="宋体" w:hAnsi="宋体" w:eastAsia="宋体" w:cs="宋体"/>
          <w:color w:val="auto"/>
          <w:sz w:val="24"/>
          <w:szCs w:val="24"/>
          <w:highlight w:val="none"/>
        </w:rPr>
        <w:t>此外，若投标人对节能或环境标志产品的报价明显高于其他同类产品的报价，投标人应按评标委员会要求作出说明并提供相关证明材料，不能合理说明或不能提供相关证明材料的，不予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p>
    <w:p w14:paraId="2748E45B">
      <w:pPr>
        <w:widowControl/>
        <w:numPr>
          <w:ilvl w:val="0"/>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若节能、环境标志产品仅是构成投标产品的部件、组件或零件，则该投标产品不享受鼓励优惠政策。属于政府强制采购的节能产品不享受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4C78B2E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3、</w:t>
      </w:r>
      <w:r>
        <w:rPr>
          <w:rStyle w:val="13"/>
          <w:rFonts w:hint="eastAsia" w:ascii="宋体" w:hAnsi="宋体" w:eastAsia="宋体" w:cs="宋体"/>
          <w:b/>
          <w:bCs/>
          <w:color w:val="auto"/>
          <w:kern w:val="2"/>
          <w:sz w:val="24"/>
          <w:szCs w:val="24"/>
          <w:highlight w:val="none"/>
        </w:rPr>
        <w:t>对本国产品的支持政策</w:t>
      </w:r>
      <w:r>
        <w:rPr>
          <w:rFonts w:hint="eastAsia" w:eastAsia="宋体" w:cs="宋体"/>
          <w:b/>
          <w:bCs/>
          <w:color w:val="auto"/>
          <w:kern w:val="2"/>
          <w:sz w:val="24"/>
          <w:szCs w:val="24"/>
          <w:highlight w:val="none"/>
          <w:lang w:eastAsia="zh-CN"/>
        </w:rPr>
        <w:t>：</w:t>
      </w:r>
    </w:p>
    <w:p w14:paraId="0B538284">
      <w:pPr>
        <w:pStyle w:val="17"/>
        <w:spacing w:line="360" w:lineRule="auto"/>
        <w:ind w:left="21" w:right="0" w:firstLine="487" w:firstLineChars="203"/>
        <w:rPr>
          <w:rFonts w:hint="eastAsia" w:ascii="宋体" w:hAnsi="宋体" w:eastAsia="宋体" w:cs="宋体"/>
          <w:color w:val="auto"/>
          <w:spacing w:val="1"/>
          <w:sz w:val="24"/>
          <w:szCs w:val="24"/>
          <w:highlight w:val="none"/>
        </w:rPr>
      </w:pPr>
      <w:r>
        <w:rPr>
          <w:rFonts w:hint="eastAsia" w:ascii="宋体" w:hAnsi="宋体" w:eastAsia="宋体" w:cs="宋体"/>
          <w:color w:val="auto"/>
          <w:spacing w:val="0"/>
          <w:sz w:val="24"/>
          <w:szCs w:val="24"/>
          <w:highlight w:val="none"/>
        </w:rPr>
        <w:t>（1）本项目适用《国务院办公厅关于在政府采购中实施本国产品标准及相关政策的通知》（国办发〔2025〕34 号，以下简称《通知》）</w:t>
      </w:r>
      <w:r>
        <w:rPr>
          <w:rFonts w:hint="eastAsia" w:ascii="宋体" w:hAnsi="宋体" w:eastAsia="宋体" w:cs="宋体"/>
          <w:color w:val="auto"/>
          <w:spacing w:val="-7"/>
          <w:sz w:val="24"/>
          <w:szCs w:val="24"/>
          <w:highlight w:val="none"/>
        </w:rPr>
        <w:t>规定的本国产品标准及相关政策，</w:t>
      </w:r>
      <w:r>
        <w:rPr>
          <w:rFonts w:hint="eastAsia" w:ascii="宋体" w:hAnsi="宋体" w:eastAsia="宋体" w:cs="宋体"/>
          <w:color w:val="auto"/>
          <w:spacing w:val="1"/>
          <w:sz w:val="24"/>
          <w:szCs w:val="24"/>
          <w:highlight w:val="none"/>
        </w:rPr>
        <w:t>本国产品标准适用于货物，包括政府采购货物项目和服务项目中涉及的货物。适用本国产品标准的货物具体是指《政府采购品目分类目录》 中的货物类产品，但不包括其中的房屋和构筑物，文物和陈列品，图书和档案，特种动植物，农林牧渔业产品，矿与矿物， 电力、城市燃气、蒸汽和热水、水，食品、饮料和烟草原料，无形资产。</w:t>
      </w:r>
    </w:p>
    <w:p w14:paraId="58BD6132">
      <w:pPr>
        <w:pStyle w:val="17"/>
        <w:spacing w:line="360" w:lineRule="auto"/>
        <w:ind w:left="22" w:right="17" w:firstLine="491" w:firstLineChars="203"/>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（2）本项目中，国有企业、民营企业、外资</w:t>
      </w:r>
      <w:r>
        <w:rPr>
          <w:rFonts w:hint="eastAsia" w:ascii="宋体" w:hAnsi="宋体" w:eastAsia="宋体" w:cs="宋体"/>
          <w:color w:val="auto"/>
          <w:sz w:val="24"/>
          <w:szCs w:val="24"/>
          <w:highlight w:val="none"/>
        </w:rPr>
        <w:t>企业等各类经营主体</w:t>
      </w:r>
      <w:r>
        <w:rPr>
          <w:rFonts w:hint="eastAsia" w:ascii="宋体" w:hAnsi="宋体" w:eastAsia="宋体" w:cs="宋体"/>
          <w:color w:val="auto"/>
          <w:spacing w:val="-4"/>
          <w:sz w:val="24"/>
          <w:szCs w:val="24"/>
          <w:highlight w:val="none"/>
        </w:rPr>
        <w:t>平等享受本国产品政府采购支持政策，采购人及采购代理机构对各类经营主体一视同仁、平等对待，无差别待遇或歧视待遇，不指定</w:t>
      </w:r>
      <w:r>
        <w:rPr>
          <w:rFonts w:hint="eastAsia" w:ascii="宋体" w:hAnsi="宋体" w:eastAsia="宋体" w:cs="宋体"/>
          <w:color w:val="auto"/>
          <w:spacing w:val="-1"/>
          <w:sz w:val="24"/>
          <w:szCs w:val="24"/>
          <w:highlight w:val="none"/>
        </w:rPr>
        <w:t>品牌、不限制品牌注册地及所有者。</w:t>
      </w:r>
    </w:p>
    <w:p w14:paraId="63FCDE25">
      <w:pPr>
        <w:pStyle w:val="17"/>
        <w:spacing w:before="0" w:line="360" w:lineRule="auto"/>
        <w:ind w:left="24" w:right="15" w:firstLine="488"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1"/>
          <w:sz w:val="24"/>
          <w:szCs w:val="24"/>
          <w:highlight w:val="none"/>
        </w:rPr>
        <w:t>（3）本项目所称本国产品，是指符合《通知</w:t>
      </w:r>
      <w:r>
        <w:rPr>
          <w:rFonts w:hint="eastAsia" w:ascii="宋体" w:hAnsi="宋体" w:eastAsia="宋体" w:cs="宋体"/>
          <w:color w:val="auto"/>
          <w:sz w:val="24"/>
          <w:szCs w:val="24"/>
          <w:highlight w:val="none"/>
        </w:rPr>
        <w:t>》第一条规定条件的</w:t>
      </w:r>
      <w:r>
        <w:rPr>
          <w:rFonts w:hint="eastAsia" w:ascii="宋体" w:hAnsi="宋体" w:eastAsia="宋体" w:cs="宋体"/>
          <w:color w:val="auto"/>
          <w:spacing w:val="-4"/>
          <w:sz w:val="24"/>
          <w:szCs w:val="24"/>
          <w:highlight w:val="none"/>
        </w:rPr>
        <w:t>产品：①在中国境内生产，即于中华人民共和国关境内经制造、加工、组装等工序实现属性改变，形成有新名称、新特征（用途）的</w:t>
      </w:r>
      <w:r>
        <w:rPr>
          <w:rFonts w:hint="eastAsia" w:ascii="宋体" w:hAnsi="宋体" w:eastAsia="宋体" w:cs="宋体"/>
          <w:color w:val="auto"/>
          <w:spacing w:val="-5"/>
          <w:sz w:val="24"/>
          <w:szCs w:val="24"/>
          <w:highlight w:val="none"/>
        </w:rPr>
        <w:t>新产品，《通知》列明的</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5"/>
          <w:sz w:val="24"/>
          <w:szCs w:val="24"/>
          <w:highlight w:val="none"/>
        </w:rPr>
        <w:t>5</w:t>
      </w:r>
      <w:r>
        <w:rPr>
          <w:rFonts w:hint="eastAsia" w:ascii="宋体" w:hAnsi="宋体" w:eastAsia="宋体" w:cs="宋体"/>
          <w:color w:val="auto"/>
          <w:spacing w:val="-58"/>
          <w:sz w:val="24"/>
          <w:szCs w:val="24"/>
          <w:highlight w:val="none"/>
        </w:rPr>
        <w:t xml:space="preserve"> </w:t>
      </w:r>
      <w:r>
        <w:rPr>
          <w:rFonts w:hint="eastAsia" w:ascii="宋体" w:hAnsi="宋体" w:eastAsia="宋体" w:cs="宋体"/>
          <w:color w:val="auto"/>
          <w:spacing w:val="-5"/>
          <w:sz w:val="24"/>
          <w:szCs w:val="24"/>
          <w:highlight w:val="none"/>
        </w:rPr>
        <w:t>类细微操作不属于属性改变；②在中国</w:t>
      </w:r>
      <w:r>
        <w:rPr>
          <w:rFonts w:hint="eastAsia" w:ascii="宋体" w:hAnsi="宋体" w:eastAsia="宋体" w:cs="宋体"/>
          <w:color w:val="auto"/>
          <w:spacing w:val="6"/>
          <w:sz w:val="24"/>
          <w:szCs w:val="24"/>
          <w:highlight w:val="none"/>
        </w:rPr>
        <w:t>境内生产的组件成本占比达到财政部会同行业主管部门规定比例</w:t>
      </w:r>
      <w:r>
        <w:rPr>
          <w:rFonts w:hint="eastAsia" w:ascii="宋体" w:hAnsi="宋体" w:eastAsia="宋体" w:cs="宋体"/>
          <w:color w:val="auto"/>
          <w:spacing w:val="-4"/>
          <w:sz w:val="24"/>
          <w:szCs w:val="24"/>
          <w:highlight w:val="none"/>
        </w:rPr>
        <w:t>（在分产品比例要求实施前，仅需满足前款境内生产条件即可视同</w:t>
      </w:r>
      <w:r>
        <w:rPr>
          <w:rFonts w:hint="eastAsia" w:ascii="宋体" w:hAnsi="宋体" w:eastAsia="宋体" w:cs="宋体"/>
          <w:color w:val="auto"/>
          <w:spacing w:val="1"/>
          <w:sz w:val="24"/>
          <w:szCs w:val="24"/>
          <w:highlight w:val="none"/>
        </w:rPr>
        <w:t>本国产品</w:t>
      </w:r>
      <w:r>
        <w:rPr>
          <w:rFonts w:hint="eastAsia" w:ascii="宋体" w:hAnsi="宋体" w:eastAsia="宋体" w:cs="宋体"/>
          <w:color w:val="auto"/>
          <w:spacing w:val="-65"/>
          <w:sz w:val="24"/>
          <w:szCs w:val="24"/>
          <w:highlight w:val="none"/>
        </w:rPr>
        <w:t>）；</w:t>
      </w:r>
      <w:r>
        <w:rPr>
          <w:rFonts w:hint="eastAsia" w:ascii="宋体" w:hAnsi="宋体" w:eastAsia="宋体" w:cs="宋体"/>
          <w:color w:val="auto"/>
          <w:spacing w:val="1"/>
          <w:sz w:val="24"/>
          <w:szCs w:val="24"/>
          <w:highlight w:val="none"/>
        </w:rPr>
        <w:t>③特定产品在满足前两项条件基础上</w:t>
      </w:r>
      <w:r>
        <w:rPr>
          <w:rFonts w:hint="eastAsia" w:ascii="宋体" w:hAnsi="宋体" w:eastAsia="宋体" w:cs="宋体"/>
          <w:color w:val="auto"/>
          <w:sz w:val="24"/>
          <w:szCs w:val="24"/>
          <w:highlight w:val="none"/>
        </w:rPr>
        <w:t>，其关键组件、</w:t>
      </w:r>
      <w:r>
        <w:rPr>
          <w:rFonts w:hint="eastAsia" w:ascii="宋体" w:hAnsi="宋体" w:eastAsia="宋体" w:cs="宋体"/>
          <w:color w:val="auto"/>
          <w:spacing w:val="11"/>
          <w:sz w:val="24"/>
          <w:szCs w:val="24"/>
          <w:highlight w:val="none"/>
        </w:rPr>
        <w:t>关键工序符合财政部会同行业主管部门确定的境内生产/完成要</w:t>
      </w:r>
      <w:r>
        <w:rPr>
          <w:rFonts w:hint="eastAsia" w:ascii="宋体" w:hAnsi="宋体" w:eastAsia="宋体" w:cs="宋体"/>
          <w:color w:val="auto"/>
          <w:spacing w:val="-5"/>
          <w:sz w:val="24"/>
          <w:szCs w:val="24"/>
          <w:highlight w:val="none"/>
        </w:rPr>
        <w:t>求。</w:t>
      </w:r>
    </w:p>
    <w:p w14:paraId="7466681F">
      <w:pPr>
        <w:pStyle w:val="17"/>
        <w:spacing w:before="0" w:line="360" w:lineRule="auto"/>
        <w:ind w:left="24" w:right="15" w:firstLine="464"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4</w:t>
      </w: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rPr>
        <w:t>产品在中国境内生产的组件成本核算，严格按照《通知》附件 1《中国境内生产的组件成本核算基本规则》执行，以产品二级组件成本核算为原则，一级组件可满足判定需求的按一级组件核算。</w:t>
      </w:r>
    </w:p>
    <w:p w14:paraId="18C16D7F">
      <w:pPr>
        <w:pStyle w:val="17"/>
        <w:spacing w:before="0" w:line="360" w:lineRule="auto"/>
        <w:ind w:left="24" w:right="15" w:firstLine="484" w:firstLineChars="202"/>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政府采购活动中既有本国产品又有非本国产品参与竞争的，依法对本国产品给予价格评审优惠，对本国产品的报价给予20%的价格扣除，用扣除后的价格参与评审。</w:t>
      </w:r>
    </w:p>
    <w:p w14:paraId="6B5D8A40">
      <w:pPr>
        <w:pStyle w:val="9"/>
        <w:widowControl/>
        <w:pBdr>
          <w:top w:val="none" w:color="auto" w:sz="0" w:space="0"/>
          <w:left w:val="none" w:color="auto" w:sz="0" w:space="0"/>
          <w:bottom w:val="none" w:color="auto" w:sz="0" w:space="0"/>
          <w:right w:val="none" w:color="auto" w:sz="0" w:space="0"/>
        </w:pBdr>
        <w:spacing w:before="0" w:beforeAutospacing="0" w:after="0" w:afterAutospacing="0" w:line="360" w:lineRule="auto"/>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1F58A43">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（6）对符合本国产品标准的产品/供应商报价执行 20%价格扣除的评审优惠，扣除后的价格作为评审价格参与评审，具体规则如下：</w:t>
      </w:r>
    </w:p>
    <w:p w14:paraId="76B49EDF">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①单一产品情形：投标产品为单一产品，且投标人已提交合规《声明函》证明该产品为本国产品的，对该产品的投标报价给予 20%的价格扣除。</w:t>
      </w:r>
    </w:p>
    <w:p w14:paraId="3BAB9ABF">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②多产品组合情形：采购项目/采购包包含多种产品的，投标人提供的符合本国产品标准的产品成本之和 ÷ 投标人提供的全部产品成本之和≥80%的，对该投标人提交的本项目/采购包全部产品总报价给予 20%的价格扣除。</w:t>
      </w:r>
    </w:p>
    <w:p w14:paraId="0058BDA6">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③上述产品成本均以投标人投标文件中载明的真实成本数据、采购合同、进货记录等会计核算数据为依据；价格扣除仅用于评审阶段的价格比较，不改变投标人的投标报价及中标后的签约结算价格。</w:t>
      </w:r>
    </w:p>
    <w:p w14:paraId="008561B5">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④中华人民共和国缔结或共同参加的国际条约、协定对政府采购本国产品政策另有规定的，从其规定。</w:t>
      </w:r>
    </w:p>
    <w:p w14:paraId="52A26EED">
      <w:pPr>
        <w:widowControl w:val="0"/>
        <w:numPr>
          <w:ilvl w:val="0"/>
          <w:numId w:val="2"/>
        </w:numP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未提供《</w:t>
      </w:r>
      <w:r>
        <w:rPr>
          <w:rFonts w:hint="eastAsia" w:ascii="宋体" w:hAnsi="宋体" w:eastAsia="宋体" w:cs="宋体"/>
          <w:color w:val="auto"/>
          <w:sz w:val="24"/>
          <w:szCs w:val="24"/>
          <w:highlight w:val="none"/>
        </w:rPr>
        <w:t>关于符合本国产品标准的声明函</w:t>
      </w:r>
      <w:r>
        <w:rPr>
          <w:rFonts w:hint="eastAsia" w:ascii="宋体" w:hAnsi="宋体" w:eastAsia="宋体" w:cs="宋体"/>
          <w:color w:val="auto"/>
          <w:sz w:val="24"/>
          <w:szCs w:val="24"/>
          <w:highlight w:val="none"/>
          <w:lang w:val="en-US" w:eastAsia="zh-CN"/>
        </w:rPr>
        <w:t>》的不</w:t>
      </w:r>
      <w:r>
        <w:rPr>
          <w:rFonts w:hint="eastAsia" w:ascii="宋体" w:hAnsi="宋体" w:eastAsia="宋体" w:cs="宋体"/>
          <w:color w:val="auto"/>
          <w:sz w:val="24"/>
          <w:szCs w:val="24"/>
          <w:highlight w:val="none"/>
        </w:rPr>
        <w:t>给予价格评审优惠</w:t>
      </w:r>
      <w:r>
        <w:rPr>
          <w:rFonts w:hint="eastAsia" w:ascii="宋体" w:hAnsi="宋体" w:eastAsia="宋体" w:cs="宋体"/>
          <w:color w:val="auto"/>
          <w:sz w:val="24"/>
          <w:szCs w:val="24"/>
          <w:highlight w:val="none"/>
          <w:lang w:eastAsia="zh-CN"/>
        </w:rPr>
        <w:t>。</w:t>
      </w:r>
    </w:p>
    <w:p w14:paraId="0119BE6B">
      <w:pPr>
        <w:widowControl w:val="0"/>
        <w:numPr>
          <w:ilvl w:val="-1"/>
          <w:numId w:val="0"/>
        </w:numPr>
        <w:spacing w:after="0" w:afterAutospacing="0"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2"/>
          <w:sz w:val="24"/>
          <w:szCs w:val="24"/>
          <w:highlight w:val="none"/>
          <w:lang w:val="en-US" w:eastAsia="zh-CN"/>
        </w:rPr>
        <w:t>4、</w:t>
      </w:r>
      <w:r>
        <w:rPr>
          <w:rFonts w:hint="eastAsia" w:ascii="宋体" w:hAnsi="宋体" w:eastAsia="宋体" w:cs="宋体"/>
          <w:b/>
          <w:bCs/>
          <w:color w:val="auto"/>
          <w:sz w:val="24"/>
          <w:szCs w:val="24"/>
          <w:highlight w:val="none"/>
          <w:lang w:eastAsia="zh-CN"/>
        </w:rPr>
        <w:t>异常低价审查</w:t>
      </w:r>
    </w:p>
    <w:p w14:paraId="397BA1E8">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4.1</w:t>
      </w:r>
      <w:r>
        <w:rPr>
          <w:rFonts w:hint="eastAsia" w:ascii="宋体" w:hAnsi="宋体" w:eastAsia="宋体" w:cs="宋体"/>
          <w:color w:val="auto"/>
          <w:sz w:val="24"/>
          <w:szCs w:val="24"/>
          <w:highlight w:val="none"/>
          <w:lang w:eastAsia="zh-CN"/>
        </w:rPr>
        <w:t>政府采购评审中出现下列情形之一的，评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委员会应当启动异常低价投标审查程序：</w:t>
      </w:r>
    </w:p>
    <w:p w14:paraId="2A14A39E">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（1）投标报价低于全部通过符合性审</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投标报价平均值50%的，即投标报价</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全部通过符合性审查</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w:t>
      </w:r>
    </w:p>
    <w:p w14:paraId="4B0087BC">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）投标报价低于通过符合性审查的次低报价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w:t>
      </w:r>
    </w:p>
    <w:p w14:paraId="2EA18F0D">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）投标报价低于采购项目最高限价45%的，即投标报价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采购项目最高限价×45%；</w:t>
      </w:r>
    </w:p>
    <w:p w14:paraId="480888AB">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委员会基于专业判断，认为</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报价过低，有可能影响产品质量或者不能诚信履约的其他情形。</w:t>
      </w:r>
    </w:p>
    <w:p w14:paraId="3EA125B0">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启动异常低价投标审查后，属于前述第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项至第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项情形，供应商已随投标文件一并提交相关书面说明及必要的证明材料的，在评审现场可不再重复提交。</w:t>
      </w:r>
    </w:p>
    <w:p w14:paraId="0D232A05">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应当将其作为无效投标处理。</w:t>
      </w:r>
    </w:p>
    <w:p w14:paraId="65E8D35F">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采购人、采购代理机构应当为</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在评审现场及时获取同类项目中标(成交)价格、类似产品市场价格水平、行业人工费用标准、国家有关部门指导行业协会发布的行业平均成本等相关信息资料提供便利。</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借助互联网等渠道查询相关信息的，应当严格遵守评审工作纪律，不得实施影响评审公正的行 为 。</w:t>
      </w:r>
    </w:p>
    <w:p w14:paraId="0F99A736">
      <w:pPr>
        <w:widowControl/>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异常低价投标审查的启动原因、审查意见和审查结果应当在评审报告中记录，并随供应商提供的相关书面说明及证明材料，以及</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有关互联网浏览、查询历史一并归档。</w:t>
      </w:r>
    </w:p>
    <w:p w14:paraId="3C9784A3">
      <w:pPr>
        <w:tabs>
          <w:tab w:val="left" w:pos="-1080"/>
          <w:tab w:val="left" w:pos="180"/>
          <w:tab w:val="left" w:pos="1080"/>
        </w:tabs>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14:paraId="0821A47D">
      <w:pPr>
        <w:pStyle w:val="5"/>
        <w:spacing w:line="360" w:lineRule="auto"/>
        <w:ind w:firstLine="84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备注：1、技术商务评分中涉及排名情况的评分由评标委员会根据各投标人投标文件的响应情况进行综合评议得出排名。</w:t>
      </w:r>
    </w:p>
    <w:p w14:paraId="24D0E253">
      <w:pPr>
        <w:pStyle w:val="5"/>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业绩作为评分条件的，投标人须提供该业绩项目的中标（成交）公告（提供相关网站中标（成交）公告的下载网页的扫描件及其网址）、中标（成交）通知书扫描件、采购合同文本扫描件，以及能够证明该业绩项目已经</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验收合格的相关证明文件扫描件，原件备查；如未按招标文件要求提供该项业绩完整资料的，评标委员会对该项业绩将不予采信。</w:t>
      </w:r>
    </w:p>
    <w:p w14:paraId="6E70C655">
      <w:pPr>
        <w:spacing w:line="360" w:lineRule="auto"/>
        <w:ind w:firstLine="1600" w:firstLineChars="500"/>
        <w:rPr>
          <w:rFonts w:hint="eastAsia" w:ascii="宋体" w:hAnsi="宋体" w:eastAsia="宋体" w:cs="宋体"/>
          <w:color w:val="auto"/>
          <w:sz w:val="32"/>
          <w:szCs w:val="32"/>
          <w:highlight w:val="none"/>
        </w:rPr>
      </w:pPr>
    </w:p>
    <w:p w14:paraId="4E50D3D2">
      <w:pPr>
        <w:spacing w:line="360" w:lineRule="auto"/>
        <w:ind w:firstLine="1600" w:firstLineChars="500"/>
        <w:rPr>
          <w:rFonts w:hint="eastAsia" w:ascii="宋体" w:hAnsi="宋体" w:eastAsia="宋体" w:cs="宋体"/>
          <w:color w:val="auto"/>
          <w:sz w:val="32"/>
          <w:szCs w:val="32"/>
          <w:highlight w:val="none"/>
        </w:rPr>
      </w:pPr>
    </w:p>
    <w:p w14:paraId="78CCE59D">
      <w:pPr>
        <w:spacing w:line="360" w:lineRule="auto"/>
        <w:ind w:firstLine="1600" w:firstLineChars="500"/>
        <w:rPr>
          <w:rFonts w:hint="eastAsia" w:ascii="宋体" w:hAnsi="宋体" w:eastAsia="宋体" w:cs="宋体"/>
          <w:color w:val="auto"/>
          <w:sz w:val="32"/>
          <w:szCs w:val="32"/>
          <w:highlight w:val="none"/>
        </w:rPr>
      </w:pPr>
    </w:p>
    <w:p w14:paraId="46DA398C">
      <w:pPr>
        <w:spacing w:line="360" w:lineRule="auto"/>
        <w:ind w:firstLine="1600" w:firstLineChars="500"/>
        <w:rPr>
          <w:rFonts w:hint="eastAsia" w:ascii="宋体" w:hAnsi="宋体" w:eastAsia="宋体" w:cs="宋体"/>
          <w:color w:val="auto"/>
          <w:sz w:val="32"/>
          <w:szCs w:val="32"/>
          <w:highlight w:val="none"/>
        </w:rPr>
      </w:pPr>
    </w:p>
    <w:p w14:paraId="6427D6E5">
      <w:pPr>
        <w:spacing w:line="360" w:lineRule="auto"/>
        <w:ind w:firstLine="1600" w:firstLineChars="500"/>
        <w:rPr>
          <w:rFonts w:hint="eastAsia" w:ascii="宋体" w:hAnsi="宋体" w:eastAsia="宋体" w:cs="宋体"/>
          <w:color w:val="auto"/>
          <w:sz w:val="32"/>
          <w:szCs w:val="32"/>
          <w:highlight w:val="none"/>
        </w:rPr>
      </w:pPr>
    </w:p>
    <w:p w14:paraId="77F987BB">
      <w:pPr>
        <w:spacing w:line="360" w:lineRule="auto"/>
        <w:ind w:firstLine="1606" w:firstLineChars="500"/>
        <w:rPr>
          <w:rFonts w:hint="eastAsia" w:ascii="宋体" w:hAnsi="宋体" w:eastAsia="宋体" w:cs="宋体"/>
          <w:b/>
          <w:bCs/>
          <w:color w:val="auto"/>
          <w:sz w:val="32"/>
          <w:szCs w:val="32"/>
          <w:highlight w:val="none"/>
        </w:rPr>
      </w:pPr>
    </w:p>
    <w:p w14:paraId="155FD59C">
      <w:pPr>
        <w:spacing w:line="360" w:lineRule="auto"/>
        <w:ind w:firstLine="1606" w:firstLineChars="500"/>
        <w:rPr>
          <w:rFonts w:hint="eastAsia" w:ascii="宋体" w:hAnsi="宋体" w:eastAsia="宋体" w:cs="宋体"/>
          <w:b/>
          <w:bCs/>
          <w:color w:val="auto"/>
          <w:sz w:val="32"/>
          <w:szCs w:val="32"/>
          <w:highlight w:val="none"/>
        </w:rPr>
      </w:pPr>
    </w:p>
    <w:p w14:paraId="4ED0177F">
      <w:pPr>
        <w:spacing w:line="360" w:lineRule="auto"/>
        <w:ind w:firstLine="1606" w:firstLineChars="500"/>
        <w:rPr>
          <w:rFonts w:hint="eastAsia" w:ascii="宋体" w:hAnsi="宋体" w:eastAsia="宋体" w:cs="宋体"/>
          <w:b/>
          <w:bCs/>
          <w:color w:val="auto"/>
          <w:sz w:val="32"/>
          <w:szCs w:val="32"/>
          <w:highlight w:val="none"/>
        </w:rPr>
      </w:pPr>
    </w:p>
    <w:p w14:paraId="4A3510D4">
      <w:pPr>
        <w:spacing w:line="360" w:lineRule="auto"/>
        <w:ind w:firstLine="1606" w:firstLineChars="500"/>
        <w:rPr>
          <w:rFonts w:hint="eastAsia" w:ascii="宋体" w:hAnsi="宋体" w:eastAsia="宋体" w:cs="宋体"/>
          <w:b/>
          <w:bCs/>
          <w:color w:val="auto"/>
          <w:sz w:val="32"/>
          <w:szCs w:val="32"/>
          <w:highlight w:val="none"/>
        </w:rPr>
      </w:pPr>
    </w:p>
    <w:p w14:paraId="64B4C14A">
      <w:pPr>
        <w:spacing w:line="360" w:lineRule="auto"/>
        <w:ind w:firstLine="1606" w:firstLineChars="500"/>
        <w:rPr>
          <w:rFonts w:hint="eastAsia" w:ascii="宋体" w:hAnsi="宋体" w:eastAsia="宋体" w:cs="宋体"/>
          <w:b/>
          <w:bCs/>
          <w:color w:val="auto"/>
          <w:sz w:val="32"/>
          <w:szCs w:val="32"/>
          <w:highlight w:val="none"/>
        </w:rPr>
      </w:pPr>
    </w:p>
    <w:p w14:paraId="71528F7C">
      <w:pPr>
        <w:spacing w:line="360" w:lineRule="auto"/>
        <w:ind w:firstLine="1606" w:firstLineChars="500"/>
        <w:rPr>
          <w:rFonts w:hint="eastAsia" w:ascii="宋体" w:hAnsi="宋体" w:eastAsia="宋体" w:cs="宋体"/>
          <w:b/>
          <w:bCs/>
          <w:color w:val="auto"/>
          <w:sz w:val="32"/>
          <w:szCs w:val="32"/>
          <w:highlight w:val="none"/>
        </w:rPr>
      </w:pPr>
    </w:p>
    <w:p w14:paraId="166D226E">
      <w:pPr>
        <w:spacing w:line="360" w:lineRule="auto"/>
        <w:ind w:firstLine="1606" w:firstLineChars="500"/>
        <w:rPr>
          <w:rFonts w:hint="eastAsia" w:ascii="宋体" w:hAnsi="宋体" w:eastAsia="宋体" w:cs="宋体"/>
          <w:b/>
          <w:bCs/>
          <w:color w:val="auto"/>
          <w:sz w:val="32"/>
          <w:szCs w:val="32"/>
          <w:highlight w:val="none"/>
        </w:rPr>
      </w:pPr>
    </w:p>
    <w:p w14:paraId="160FF5E4">
      <w:pPr>
        <w:spacing w:line="360" w:lineRule="auto"/>
        <w:ind w:firstLine="1606" w:firstLineChars="500"/>
        <w:rPr>
          <w:rFonts w:hint="eastAsia" w:ascii="宋体" w:hAnsi="宋体" w:eastAsia="宋体" w:cs="宋体"/>
          <w:b/>
          <w:bCs/>
          <w:color w:val="auto"/>
          <w:sz w:val="32"/>
          <w:szCs w:val="32"/>
          <w:highlight w:val="none"/>
        </w:rPr>
      </w:pPr>
    </w:p>
    <w:p w14:paraId="12332381">
      <w:pPr>
        <w:spacing w:line="360" w:lineRule="auto"/>
        <w:ind w:firstLine="1606" w:firstLineChars="500"/>
        <w:rPr>
          <w:rFonts w:hint="eastAsia" w:ascii="宋体" w:hAnsi="宋体" w:eastAsia="宋体" w:cs="宋体"/>
          <w:b/>
          <w:bCs/>
          <w:color w:val="auto"/>
          <w:sz w:val="32"/>
          <w:szCs w:val="32"/>
          <w:highlight w:val="none"/>
        </w:rPr>
      </w:pPr>
    </w:p>
    <w:p w14:paraId="1B670AC4">
      <w:pPr>
        <w:spacing w:line="360" w:lineRule="auto"/>
        <w:ind w:firstLine="1606" w:firstLineChars="500"/>
        <w:rPr>
          <w:rFonts w:hint="eastAsia" w:ascii="宋体" w:hAnsi="宋体" w:eastAsia="宋体" w:cs="宋体"/>
          <w:b/>
          <w:bCs/>
          <w:color w:val="auto"/>
          <w:sz w:val="32"/>
          <w:szCs w:val="32"/>
          <w:highlight w:val="none"/>
        </w:rPr>
      </w:pPr>
    </w:p>
    <w:p w14:paraId="377B2A2F">
      <w:pPr>
        <w:spacing w:line="360" w:lineRule="auto"/>
        <w:ind w:firstLine="1606" w:firstLineChars="500"/>
        <w:rPr>
          <w:rFonts w:hint="eastAsia" w:ascii="宋体" w:hAnsi="宋体" w:eastAsia="宋体" w:cs="宋体"/>
          <w:b/>
          <w:bCs/>
          <w:color w:val="auto"/>
          <w:sz w:val="32"/>
          <w:szCs w:val="32"/>
          <w:highlight w:val="none"/>
        </w:rPr>
      </w:pPr>
    </w:p>
    <w:p w14:paraId="56A94E18">
      <w:pPr>
        <w:spacing w:line="360" w:lineRule="auto"/>
        <w:ind w:firstLine="1606" w:firstLineChars="500"/>
        <w:rPr>
          <w:rFonts w:hint="eastAsia" w:ascii="宋体" w:hAnsi="宋体" w:eastAsia="宋体" w:cs="宋体"/>
          <w:b/>
          <w:bCs/>
          <w:color w:val="auto"/>
          <w:sz w:val="32"/>
          <w:szCs w:val="32"/>
          <w:highlight w:val="none"/>
        </w:rPr>
      </w:pPr>
    </w:p>
    <w:p w14:paraId="66ACBD98">
      <w:pPr>
        <w:spacing w:line="360" w:lineRule="auto"/>
        <w:ind w:firstLine="1606" w:firstLineChars="500"/>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投标人须知前附表4：中小企业优惠办法</w:t>
      </w:r>
    </w:p>
    <w:tbl>
      <w:tblPr>
        <w:tblStyle w:val="11"/>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5204A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46B1368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14:paraId="137C515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063" w:type="dxa"/>
            <w:noWrap w:val="0"/>
            <w:vAlign w:val="center"/>
          </w:tcPr>
          <w:p w14:paraId="56FD88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4A427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14:paraId="3AFC9D6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14:paraId="2D9DE14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本项目是否属于预留份额专门面向中小企业采购活动</w:t>
            </w:r>
            <w:r>
              <w:rPr>
                <w:rFonts w:hint="eastAsia" w:ascii="宋体" w:hAnsi="宋体" w:eastAsia="宋体" w:cs="宋体"/>
                <w:b/>
                <w:color w:val="auto"/>
                <w:sz w:val="24"/>
                <w:szCs w:val="24"/>
                <w:highlight w:val="none"/>
              </w:rPr>
              <w:t>：</w:t>
            </w:r>
          </w:p>
        </w:tc>
        <w:tc>
          <w:tcPr>
            <w:tcW w:w="6063" w:type="dxa"/>
            <w:noWrap w:val="0"/>
            <w:vAlign w:val="center"/>
          </w:tcPr>
          <w:p w14:paraId="39860EC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lang w:eastAsia="zh-CN"/>
              </w:rPr>
              <w:t>☑</w:t>
            </w:r>
            <w:r>
              <w:rPr>
                <w:rFonts w:hint="eastAsia" w:ascii="宋体" w:hAnsi="宋体" w:eastAsia="宋体" w:cs="宋体"/>
                <w:color w:val="auto"/>
                <w:sz w:val="24"/>
                <w:szCs w:val="24"/>
                <w:highlight w:val="none"/>
              </w:rPr>
              <w:t xml:space="preserve">是/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w:t>
            </w:r>
          </w:p>
        </w:tc>
      </w:tr>
      <w:tr w14:paraId="5434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279ECE0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14:paraId="3DAD282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063" w:type="dxa"/>
            <w:noWrap w:val="0"/>
            <w:vAlign w:val="top"/>
          </w:tcPr>
          <w:p w14:paraId="501AEB2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14:paraId="68B88C0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14:paraId="3C79E5C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550F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noWrap w:val="0"/>
            <w:vAlign w:val="center"/>
          </w:tcPr>
          <w:p w14:paraId="30C2734E">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14:paraId="57655CB7">
            <w:pPr>
              <w:keepNext w:val="0"/>
              <w:keepLines w:val="0"/>
              <w:widowControl/>
              <w:suppressLineNumbers w:val="0"/>
              <w:spacing w:before="0" w:beforeAutospacing="0" w:after="0" w:afterAutospacing="0" w:line="360" w:lineRule="auto"/>
              <w:ind w:left="-65" w:leftChars="-31" w:right="0" w:firstLine="475" w:firstLineChars="205"/>
              <w:jc w:val="left"/>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优惠办法：</w:t>
            </w:r>
          </w:p>
        </w:tc>
        <w:tc>
          <w:tcPr>
            <w:tcW w:w="6063" w:type="dxa"/>
            <w:tcBorders>
              <w:bottom w:val="single" w:color="auto" w:sz="4" w:space="0"/>
            </w:tcBorders>
            <w:noWrap w:val="0"/>
            <w:vAlign w:val="top"/>
          </w:tcPr>
          <w:p w14:paraId="68905B2B">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投标产品为中小企业（含中型、小型、微型企业，下同）生产：</w:t>
            </w:r>
          </w:p>
          <w:p w14:paraId="20CEEF1D">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①投标保证金：</w:t>
            </w:r>
            <w:r>
              <w:rPr>
                <w:rFonts w:hint="eastAsia" w:ascii="宋体" w:hAnsi="宋体" w:eastAsia="宋体" w:cs="宋体"/>
                <w:color w:val="auto"/>
                <w:spacing w:val="-4"/>
                <w:sz w:val="24"/>
                <w:szCs w:val="24"/>
                <w:highlight w:val="none"/>
                <w:lang w:val="en-US" w:eastAsia="zh-CN"/>
              </w:rPr>
              <w:t>全免</w:t>
            </w:r>
          </w:p>
          <w:p w14:paraId="797829B6">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14:paraId="06F8E7EF">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③代理服务费：按招标文件规定的收费标准下调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14:paraId="458C95BD">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④</w:t>
            </w:r>
            <w:r>
              <w:rPr>
                <w:rFonts w:hint="eastAsia" w:ascii="宋体" w:hAnsi="宋体" w:cs="宋体"/>
                <w:color w:val="auto"/>
                <w:spacing w:val="-4"/>
                <w:sz w:val="24"/>
                <w:szCs w:val="24"/>
                <w:highlight w:val="none"/>
              </w:rPr>
              <w:t>缩短付款时间</w:t>
            </w:r>
          </w:p>
          <w:p w14:paraId="58CCD1FC">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p>
          <w:p w14:paraId="4C968F0E">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投标产品为小型企业或微型企业生产：</w:t>
            </w:r>
          </w:p>
          <w:p w14:paraId="216CA51C">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投标人提供的货物既有中型企业制造，也有小微企业制造的，不享受办法规定的小微企业扶持政策。</w:t>
            </w:r>
          </w:p>
          <w:p w14:paraId="4E9E90C5">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对其提供的小型或微型企业产品的投标报价给予20%的扣除，扣除后的价格作为该投标人的评标价参与价格评分。</w:t>
            </w:r>
          </w:p>
          <w:p w14:paraId="14E4C4B1">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5E90BF9B">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647CB4F9">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default" w:ascii="宋体" w:hAnsi="宋体" w:eastAsia="宋体" w:cs="宋体"/>
                <w:b w:val="0"/>
                <w:color w:val="auto"/>
                <w:spacing w:val="-4"/>
                <w:sz w:val="24"/>
                <w:szCs w:val="24"/>
                <w:highlight w:val="none"/>
              </w:rPr>
              <w:t>若本项目属于预留份额专门面向中小企业采购活动，不再执行价格评审优惠的扶持政策。</w:t>
            </w:r>
          </w:p>
        </w:tc>
      </w:tr>
      <w:tr w14:paraId="34F5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6FF8B379">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14:paraId="3E64F6E9">
            <w:pPr>
              <w:pStyle w:val="9"/>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本项目对应的中小企业划分标准所属</w:t>
            </w:r>
            <w:r>
              <w:rPr>
                <w:rFonts w:hint="eastAsia" w:cs="宋体"/>
                <w:color w:val="auto"/>
                <w:sz w:val="24"/>
                <w:szCs w:val="24"/>
                <w:highlight w:val="none"/>
                <w:u w:val="single"/>
                <w:lang w:val="en-US" w:eastAsia="zh-CN"/>
              </w:rPr>
              <w:t>工业</w:t>
            </w:r>
            <w:r>
              <w:rPr>
                <w:rFonts w:hint="eastAsia" w:ascii="宋体" w:hAnsi="宋体" w:eastAsia="宋体" w:cs="宋体"/>
                <w:color w:val="auto"/>
                <w:sz w:val="24"/>
                <w:szCs w:val="24"/>
                <w:highlight w:val="none"/>
                <w:u w:val="single"/>
              </w:rPr>
              <w:t xml:space="preserve">  行业。</w:t>
            </w:r>
          </w:p>
        </w:tc>
        <w:tc>
          <w:tcPr>
            <w:tcW w:w="6063" w:type="dxa"/>
            <w:tcBorders>
              <w:bottom w:val="single" w:color="auto" w:sz="4" w:space="0"/>
            </w:tcBorders>
            <w:noWrap w:val="0"/>
            <w:vAlign w:val="top"/>
          </w:tcPr>
          <w:p w14:paraId="41AEA62D">
            <w:pPr>
              <w:keepNext w:val="0"/>
              <w:keepLines w:val="0"/>
              <w:suppressLineNumbers w:val="0"/>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14:paraId="42E11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2972427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14:paraId="42683E3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063" w:type="dxa"/>
            <w:tcBorders>
              <w:bottom w:val="single" w:color="auto" w:sz="4" w:space="0"/>
            </w:tcBorders>
            <w:noWrap w:val="0"/>
            <w:vAlign w:val="top"/>
          </w:tcPr>
          <w:p w14:paraId="50F2D01D">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14:paraId="29D1817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.投标货物全部或部分为使用大型企业注册商标的货物的；</w:t>
            </w:r>
          </w:p>
          <w:p w14:paraId="29E762B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.投标文件中标明的中小企业产品的制造商不符合“工信部联企业[2011]300号”规定的中小企业标准的；</w:t>
            </w:r>
          </w:p>
          <w:p w14:paraId="3AF1788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14:paraId="4AF110AA">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3B13A1FB">
      <w:pPr>
        <w:spacing w:line="360" w:lineRule="auto"/>
        <w:ind w:firstLine="482" w:firstLineChars="200"/>
        <w:rPr>
          <w:rFonts w:hint="eastAsia" w:ascii="宋体" w:hAnsi="宋体" w:eastAsia="宋体" w:cs="宋体"/>
          <w:b/>
          <w:bCs/>
          <w:color w:val="auto"/>
          <w:sz w:val="24"/>
          <w:szCs w:val="24"/>
          <w:highlight w:val="none"/>
        </w:rPr>
        <w:sectPr>
          <w:pgSz w:w="11907" w:h="16840"/>
          <w:pgMar w:top="1440" w:right="1752" w:bottom="1290" w:left="1752" w:header="851" w:footer="992" w:gutter="0"/>
          <w:pgBorders>
            <w:top w:val="none" w:sz="0" w:space="0"/>
            <w:left w:val="none" w:sz="0" w:space="0"/>
            <w:bottom w:val="none" w:sz="0" w:space="0"/>
            <w:right w:val="none" w:sz="0" w:space="0"/>
          </w:pgBorders>
          <w:pgNumType w:start="1"/>
          <w:cols w:space="720" w:num="1"/>
          <w:docGrid w:linePitch="323" w:charSpace="-2"/>
        </w:sectPr>
      </w:pPr>
    </w:p>
    <w:p w14:paraId="7E09F2D7">
      <w:pPr>
        <w:pStyle w:val="2"/>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14:paraId="44604819">
      <w:pPr>
        <w:pStyle w:val="6"/>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14:paraId="50E6A567">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投标人应对招标文件中的“*”号条款进行逐条响应，否则评标委员会对其投标做出不利评审，投标人必须自行承担责任。</w:t>
      </w:r>
    </w:p>
    <w:p w14:paraId="519B33E8">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211682DD">
      <w:pPr>
        <w:pStyle w:val="6"/>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45E33170">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14:paraId="353B5759">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（5）本项目实行网上发售招标文件的方式，招标文件的正式文本以厦门招投标网上下载的内容为准。</w:t>
      </w:r>
    </w:p>
    <w:p w14:paraId="5FBF01C8">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（6）资格性证明文件请单独成册。</w:t>
      </w:r>
    </w:p>
    <w:p w14:paraId="37AE27B7">
      <w:pPr>
        <w:tabs>
          <w:tab w:val="left" w:pos="5130"/>
        </w:tabs>
        <w:spacing w:line="360" w:lineRule="auto"/>
        <w:ind w:firstLine="480" w:firstLineChars="200"/>
        <w:rPr>
          <w:rFonts w:hint="eastAsia" w:ascii="宋体" w:hAnsi="宋体" w:eastAsia="宋体" w:cs="宋体"/>
          <w:color w:val="auto"/>
          <w:sz w:val="24"/>
          <w:szCs w:val="24"/>
          <w:highlight w:val="none"/>
        </w:rPr>
      </w:pPr>
    </w:p>
    <w:p w14:paraId="6545B43D">
      <w:pPr>
        <w:tabs>
          <w:tab w:val="left" w:pos="5130"/>
        </w:tabs>
        <w:spacing w:line="360" w:lineRule="auto"/>
        <w:ind w:firstLine="480" w:firstLineChars="200"/>
        <w:rPr>
          <w:rFonts w:hint="eastAsia" w:ascii="宋体" w:hAnsi="宋体" w:eastAsia="宋体" w:cs="宋体"/>
          <w:color w:val="auto"/>
          <w:sz w:val="24"/>
          <w:szCs w:val="24"/>
          <w:highlight w:val="none"/>
        </w:rPr>
      </w:pPr>
    </w:p>
    <w:p w14:paraId="53EBCC77">
      <w:pPr>
        <w:tabs>
          <w:tab w:val="left" w:pos="5130"/>
        </w:tabs>
        <w:spacing w:line="360" w:lineRule="auto"/>
        <w:ind w:firstLine="480" w:firstLineChars="200"/>
        <w:rPr>
          <w:rFonts w:hint="eastAsia" w:ascii="宋体" w:hAnsi="宋体" w:eastAsia="宋体" w:cs="宋体"/>
          <w:color w:val="auto"/>
          <w:sz w:val="24"/>
          <w:szCs w:val="24"/>
          <w:highlight w:val="none"/>
        </w:rPr>
      </w:pPr>
    </w:p>
    <w:p w14:paraId="035F6C3A">
      <w:pPr>
        <w:tabs>
          <w:tab w:val="left" w:pos="5130"/>
        </w:tabs>
        <w:spacing w:line="360" w:lineRule="auto"/>
        <w:ind w:firstLine="480" w:firstLineChars="200"/>
        <w:rPr>
          <w:rFonts w:hint="eastAsia" w:ascii="宋体" w:hAnsi="宋体" w:eastAsia="宋体" w:cs="宋体"/>
          <w:color w:val="auto"/>
          <w:sz w:val="24"/>
          <w:szCs w:val="24"/>
          <w:highlight w:val="none"/>
        </w:rPr>
      </w:pPr>
    </w:p>
    <w:p w14:paraId="529C1734">
      <w:pPr>
        <w:tabs>
          <w:tab w:val="left" w:pos="5130"/>
        </w:tabs>
        <w:spacing w:line="360" w:lineRule="auto"/>
        <w:ind w:firstLine="480" w:firstLineChars="200"/>
        <w:rPr>
          <w:rFonts w:hint="eastAsia" w:ascii="宋体" w:hAnsi="宋体" w:eastAsia="宋体" w:cs="宋体"/>
          <w:color w:val="auto"/>
          <w:sz w:val="24"/>
          <w:szCs w:val="24"/>
          <w:highlight w:val="none"/>
        </w:rPr>
      </w:pPr>
    </w:p>
    <w:p w14:paraId="0AF3A5B3">
      <w:pPr>
        <w:tabs>
          <w:tab w:val="left" w:pos="5130"/>
        </w:tabs>
        <w:spacing w:line="360" w:lineRule="auto"/>
        <w:ind w:firstLine="480" w:firstLineChars="200"/>
        <w:rPr>
          <w:rFonts w:hint="eastAsia" w:ascii="宋体" w:hAnsi="宋体" w:eastAsia="宋体" w:cs="宋体"/>
          <w:color w:val="auto"/>
          <w:sz w:val="24"/>
          <w:szCs w:val="24"/>
          <w:highlight w:val="none"/>
        </w:rPr>
      </w:pPr>
    </w:p>
    <w:p w14:paraId="71EB4B44">
      <w:pPr>
        <w:tabs>
          <w:tab w:val="left" w:pos="5130"/>
        </w:tabs>
        <w:spacing w:line="360" w:lineRule="auto"/>
        <w:ind w:firstLine="480" w:firstLineChars="200"/>
        <w:rPr>
          <w:rFonts w:hint="eastAsia" w:ascii="宋体" w:hAnsi="宋体" w:eastAsia="宋体" w:cs="宋体"/>
          <w:color w:val="auto"/>
          <w:sz w:val="24"/>
          <w:szCs w:val="24"/>
          <w:highlight w:val="none"/>
        </w:rPr>
      </w:pPr>
    </w:p>
    <w:p w14:paraId="23AB8C70">
      <w:pPr>
        <w:tabs>
          <w:tab w:val="left" w:pos="5130"/>
        </w:tabs>
        <w:spacing w:line="360" w:lineRule="auto"/>
        <w:ind w:firstLine="480" w:firstLineChars="200"/>
        <w:rPr>
          <w:rFonts w:hint="eastAsia" w:ascii="宋体" w:hAnsi="宋体" w:eastAsia="宋体" w:cs="宋体"/>
          <w:color w:val="auto"/>
          <w:sz w:val="24"/>
          <w:szCs w:val="24"/>
          <w:highlight w:val="none"/>
        </w:rPr>
      </w:pPr>
    </w:p>
    <w:p w14:paraId="48839907">
      <w:pPr>
        <w:tabs>
          <w:tab w:val="left" w:pos="5130"/>
        </w:tabs>
        <w:spacing w:line="360" w:lineRule="auto"/>
        <w:ind w:firstLine="480" w:firstLineChars="200"/>
        <w:rPr>
          <w:rFonts w:hint="eastAsia" w:ascii="宋体" w:hAnsi="宋体" w:eastAsia="宋体" w:cs="宋体"/>
          <w:color w:val="auto"/>
          <w:sz w:val="24"/>
          <w:szCs w:val="24"/>
          <w:highlight w:val="none"/>
        </w:rPr>
      </w:pPr>
    </w:p>
    <w:p w14:paraId="133F52A0">
      <w:pPr>
        <w:tabs>
          <w:tab w:val="left" w:pos="5130"/>
        </w:tabs>
        <w:spacing w:line="360" w:lineRule="auto"/>
        <w:ind w:firstLine="480" w:firstLineChars="200"/>
        <w:rPr>
          <w:rFonts w:hint="eastAsia" w:ascii="宋体" w:hAnsi="宋体" w:eastAsia="宋体" w:cs="宋体"/>
          <w:color w:val="auto"/>
          <w:sz w:val="24"/>
          <w:szCs w:val="24"/>
          <w:highlight w:val="none"/>
        </w:rPr>
      </w:pPr>
    </w:p>
    <w:p w14:paraId="74B1D465">
      <w:pPr>
        <w:tabs>
          <w:tab w:val="left" w:pos="5130"/>
        </w:tabs>
        <w:spacing w:line="360" w:lineRule="auto"/>
        <w:ind w:firstLine="480" w:firstLineChars="200"/>
        <w:rPr>
          <w:rFonts w:hint="eastAsia" w:ascii="宋体" w:hAnsi="宋体" w:eastAsia="宋体" w:cs="宋体"/>
          <w:color w:val="auto"/>
          <w:sz w:val="24"/>
          <w:szCs w:val="24"/>
          <w:highlight w:val="none"/>
        </w:rPr>
      </w:pPr>
    </w:p>
    <w:p w14:paraId="598559D1">
      <w:pPr>
        <w:tabs>
          <w:tab w:val="left" w:pos="5130"/>
        </w:tabs>
        <w:spacing w:line="360" w:lineRule="auto"/>
        <w:ind w:firstLine="480" w:firstLineChars="200"/>
        <w:rPr>
          <w:rFonts w:hint="eastAsia" w:ascii="宋体" w:hAnsi="宋体" w:eastAsia="宋体" w:cs="宋体"/>
          <w:color w:val="auto"/>
          <w:sz w:val="24"/>
          <w:szCs w:val="24"/>
          <w:highlight w:val="none"/>
        </w:rPr>
      </w:pPr>
    </w:p>
    <w:p w14:paraId="1A878D65">
      <w:pPr>
        <w:tabs>
          <w:tab w:val="left" w:pos="5130"/>
        </w:tabs>
        <w:spacing w:line="360" w:lineRule="auto"/>
        <w:ind w:firstLine="480" w:firstLineChars="200"/>
        <w:rPr>
          <w:rFonts w:hint="eastAsia" w:ascii="宋体" w:hAnsi="宋体" w:eastAsia="宋体" w:cs="宋体"/>
          <w:color w:val="auto"/>
          <w:sz w:val="24"/>
          <w:szCs w:val="24"/>
          <w:highlight w:val="none"/>
        </w:rPr>
      </w:pPr>
    </w:p>
    <w:p w14:paraId="2734DDA9">
      <w:pPr>
        <w:tabs>
          <w:tab w:val="left" w:pos="5130"/>
        </w:tabs>
        <w:spacing w:line="360" w:lineRule="auto"/>
        <w:ind w:firstLine="480" w:firstLineChars="200"/>
        <w:rPr>
          <w:rFonts w:hint="eastAsia" w:ascii="宋体" w:hAnsi="宋体" w:eastAsia="宋体" w:cs="宋体"/>
          <w:color w:val="auto"/>
          <w:sz w:val="24"/>
          <w:szCs w:val="24"/>
          <w:highlight w:val="none"/>
        </w:rPr>
      </w:pPr>
    </w:p>
    <w:p w14:paraId="7B4E3E44">
      <w:pPr>
        <w:tabs>
          <w:tab w:val="left" w:pos="5130"/>
        </w:tabs>
        <w:spacing w:line="360" w:lineRule="auto"/>
        <w:ind w:firstLine="480" w:firstLineChars="200"/>
        <w:rPr>
          <w:rFonts w:hint="eastAsia" w:ascii="宋体" w:hAnsi="宋体" w:eastAsia="宋体" w:cs="宋体"/>
          <w:color w:val="auto"/>
          <w:sz w:val="24"/>
          <w:szCs w:val="24"/>
          <w:highlight w:val="none"/>
        </w:rPr>
      </w:pPr>
    </w:p>
    <w:p w14:paraId="7D50423B">
      <w:pPr>
        <w:tabs>
          <w:tab w:val="left" w:pos="5130"/>
        </w:tabs>
        <w:spacing w:line="360" w:lineRule="auto"/>
        <w:ind w:firstLine="480" w:firstLineChars="200"/>
        <w:rPr>
          <w:rFonts w:hint="eastAsia" w:ascii="宋体" w:hAnsi="宋体" w:eastAsia="宋体" w:cs="宋体"/>
          <w:color w:val="auto"/>
          <w:sz w:val="24"/>
          <w:szCs w:val="24"/>
          <w:highlight w:val="none"/>
        </w:rPr>
      </w:pPr>
    </w:p>
    <w:p w14:paraId="3D9E3362">
      <w:pPr>
        <w:tabs>
          <w:tab w:val="left" w:pos="5130"/>
        </w:tabs>
        <w:spacing w:line="360" w:lineRule="auto"/>
        <w:ind w:firstLine="480" w:firstLineChars="200"/>
        <w:rPr>
          <w:rFonts w:hint="eastAsia" w:ascii="宋体" w:hAnsi="宋体" w:eastAsia="宋体" w:cs="宋体"/>
          <w:color w:val="auto"/>
          <w:sz w:val="24"/>
          <w:szCs w:val="24"/>
          <w:highlight w:val="none"/>
        </w:rPr>
      </w:pPr>
    </w:p>
    <w:p w14:paraId="27C810B0">
      <w:pPr>
        <w:tabs>
          <w:tab w:val="left" w:pos="5130"/>
        </w:tabs>
        <w:spacing w:line="360" w:lineRule="auto"/>
        <w:ind w:firstLine="480" w:firstLineChars="200"/>
        <w:rPr>
          <w:rFonts w:hint="eastAsia" w:ascii="宋体" w:hAnsi="宋体" w:eastAsia="宋体" w:cs="宋体"/>
          <w:color w:val="auto"/>
          <w:sz w:val="24"/>
          <w:szCs w:val="24"/>
          <w:highlight w:val="none"/>
        </w:rPr>
      </w:pPr>
    </w:p>
    <w:p w14:paraId="4772C167">
      <w:pPr>
        <w:spacing w:line="360" w:lineRule="auto"/>
        <w:ind w:right="28"/>
        <w:jc w:val="left"/>
        <w:rPr>
          <w:rFonts w:ascii="宋体" w:hAnsi="宋体" w:cs="Courier New"/>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cs="Courier New"/>
          <w:b/>
          <w:color w:val="auto"/>
          <w:sz w:val="24"/>
          <w:szCs w:val="24"/>
          <w:highlight w:val="none"/>
        </w:rPr>
        <w:t>一、采购项目一览表</w:t>
      </w:r>
    </w:p>
    <w:p w14:paraId="6ECFF66E">
      <w:pPr>
        <w:tabs>
          <w:tab w:val="left" w:pos="5130"/>
        </w:tabs>
        <w:spacing w:line="360" w:lineRule="auto"/>
        <w:ind w:firstLine="482" w:firstLineChars="200"/>
        <w:rPr>
          <w:rFonts w:hint="eastAsia" w:ascii="宋体" w:hAnsi="宋体" w:cs="Courier New"/>
          <w:b/>
          <w:color w:val="auto"/>
          <w:sz w:val="24"/>
          <w:szCs w:val="24"/>
          <w:highlight w:val="none"/>
        </w:rPr>
      </w:pPr>
      <w:r>
        <w:rPr>
          <w:rFonts w:hint="eastAsia" w:ascii="宋体" w:hAnsi="宋体" w:cs="Courier New"/>
          <w:b/>
          <w:color w:val="auto"/>
          <w:sz w:val="24"/>
          <w:szCs w:val="24"/>
          <w:highlight w:val="none"/>
          <w:lang w:val="en-US" w:eastAsia="zh-CN"/>
        </w:rPr>
        <w:t>1、</w:t>
      </w:r>
      <w:r>
        <w:rPr>
          <w:rFonts w:hint="eastAsia" w:ascii="宋体" w:hAnsi="宋体" w:cs="Courier New"/>
          <w:b/>
          <w:color w:val="auto"/>
          <w:sz w:val="24"/>
          <w:szCs w:val="24"/>
          <w:highlight w:val="none"/>
        </w:rPr>
        <w:t>详见附件1：《采购清单》</w:t>
      </w:r>
      <w:r>
        <w:rPr>
          <w:rFonts w:hint="eastAsia" w:ascii="宋体" w:hAnsi="宋体" w:cs="Courier New"/>
          <w:b/>
          <w:color w:val="auto"/>
          <w:sz w:val="24"/>
          <w:szCs w:val="24"/>
          <w:highlight w:val="none"/>
          <w:lang w:eastAsia="zh-CN"/>
        </w:rPr>
        <w:t>、</w:t>
      </w:r>
      <w:r>
        <w:rPr>
          <w:rFonts w:hint="eastAsia" w:ascii="宋体" w:hAnsi="宋体" w:cs="Courier New"/>
          <w:b/>
          <w:color w:val="auto"/>
          <w:sz w:val="24"/>
          <w:szCs w:val="24"/>
          <w:highlight w:val="none"/>
        </w:rPr>
        <w:t>《</w:t>
      </w:r>
      <w:r>
        <w:rPr>
          <w:rFonts w:hint="eastAsia" w:ascii="宋体" w:hAnsi="宋体" w:cs="Courier New"/>
          <w:b/>
          <w:color w:val="auto"/>
          <w:sz w:val="24"/>
          <w:szCs w:val="24"/>
          <w:highlight w:val="none"/>
          <w:lang w:val="en-US" w:eastAsia="zh-CN"/>
        </w:rPr>
        <w:t>样品</w:t>
      </w:r>
      <w:r>
        <w:rPr>
          <w:rFonts w:hint="eastAsia" w:ascii="宋体" w:hAnsi="宋体" w:cs="Courier New"/>
          <w:b/>
          <w:color w:val="auto"/>
          <w:sz w:val="24"/>
          <w:szCs w:val="24"/>
          <w:highlight w:val="none"/>
        </w:rPr>
        <w:t>清单》。</w:t>
      </w:r>
    </w:p>
    <w:p w14:paraId="655F0E27">
      <w:pPr>
        <w:tabs>
          <w:tab w:val="left" w:pos="5130"/>
        </w:tabs>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采购清单</w:t>
      </w:r>
      <w:r>
        <w:rPr>
          <w:rFonts w:hint="default" w:ascii="宋体" w:hAnsi="宋体"/>
          <w:color w:val="auto"/>
          <w:sz w:val="24"/>
          <w:szCs w:val="24"/>
          <w:highlight w:val="none"/>
        </w:rPr>
        <w:t>、技术评分</w:t>
      </w:r>
      <w:r>
        <w:rPr>
          <w:rFonts w:hint="eastAsia" w:ascii="宋体" w:hAnsi="宋体"/>
          <w:color w:val="auto"/>
          <w:sz w:val="24"/>
          <w:szCs w:val="24"/>
          <w:highlight w:val="none"/>
        </w:rPr>
        <w:t>中所描述产品的规格尺寸，没有幅度要求的，允许正负偏离1%以内。</w:t>
      </w:r>
    </w:p>
    <w:p w14:paraId="38B173D3">
      <w:pPr>
        <w:pStyle w:val="9"/>
        <w:shd w:val="clear" w:color="auto" w:fill="FFFFFF"/>
        <w:spacing w:before="0" w:beforeAutospacing="0" w:after="0" w:afterAutospacing="0" w:line="360" w:lineRule="auto"/>
        <w:ind w:firstLine="422" w:firstLineChars="200"/>
        <w:rPr>
          <w:rFonts w:hint="eastAsia" w:ascii="宋体" w:hAnsi="宋体" w:cs="宋体"/>
          <w:b/>
          <w:bCs/>
          <w:color w:val="auto"/>
          <w:sz w:val="24"/>
          <w:szCs w:val="24"/>
          <w:highlight w:val="none"/>
          <w:lang w:val="en-US" w:eastAsia="zh-CN"/>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lang w:eastAsia="zh-CN"/>
        </w:rPr>
        <w:t>、</w:t>
      </w:r>
      <w:r>
        <w:rPr>
          <w:rFonts w:hint="eastAsia" w:ascii="宋体" w:hAnsi="宋体" w:cs="宋体"/>
          <w:b/>
          <w:bCs/>
          <w:color w:val="auto"/>
          <w:sz w:val="24"/>
          <w:szCs w:val="24"/>
          <w:highlight w:val="none"/>
          <w:lang w:val="en-US" w:eastAsia="zh-CN"/>
        </w:rPr>
        <w:t xml:space="preserve"> 采购单位或使用单位有权对投标人所提供检测报告的真实性进行核验。一经查实，投标人承诺送检的相关检测报告在国家市场监督管理总局（全国认证认可信息公共服务平台）（http://cx.cnca.cn）无法查询或查询结果与投标情况不符的，将认定其虚假应标，给采购单位造成损失的须依法承担赔偿责任（若遇系统检修，待检测报告查询功能恢复后，采购单位或使用单位有权对投标人所提供检测报告的真实性进行核验）。                                                       </w:t>
      </w:r>
    </w:p>
    <w:p w14:paraId="071EE4E3">
      <w:pPr>
        <w:pStyle w:val="9"/>
        <w:shd w:val="clear" w:color="auto" w:fill="FFFFFF"/>
        <w:spacing w:before="0" w:beforeAutospacing="0" w:after="0" w:afterAutospacing="0"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4</w:t>
      </w:r>
      <w:r>
        <w:rPr>
          <w:rFonts w:hint="eastAsia" w:ascii="宋体" w:hAnsi="宋体" w:cs="宋体"/>
          <w:b/>
          <w:bCs/>
          <w:color w:val="auto"/>
          <w:sz w:val="24"/>
          <w:szCs w:val="24"/>
          <w:highlight w:val="none"/>
        </w:rPr>
        <w:t>、采购文件中涉及到的产品，</w:t>
      </w:r>
      <w:r>
        <w:rPr>
          <w:rFonts w:hint="eastAsia" w:ascii="宋体" w:hAnsi="宋体" w:cs="宋体"/>
          <w:b/>
          <w:bCs/>
          <w:color w:val="auto"/>
          <w:sz w:val="24"/>
          <w:szCs w:val="24"/>
          <w:highlight w:val="none"/>
          <w:lang w:val="en-US" w:eastAsia="zh-CN"/>
        </w:rPr>
        <w:t>中标</w:t>
      </w:r>
      <w:r>
        <w:rPr>
          <w:rFonts w:hint="eastAsia" w:ascii="宋体" w:hAnsi="宋体" w:cs="宋体"/>
          <w:b/>
          <w:bCs/>
          <w:color w:val="auto"/>
          <w:sz w:val="24"/>
          <w:szCs w:val="24"/>
          <w:highlight w:val="none"/>
        </w:rPr>
        <w:t>后，</w:t>
      </w:r>
      <w:r>
        <w:rPr>
          <w:rFonts w:hint="eastAsia" w:ascii="宋体" w:hAnsi="宋体" w:cs="宋体"/>
          <w:b/>
          <w:bCs/>
          <w:color w:val="auto"/>
          <w:sz w:val="24"/>
          <w:szCs w:val="24"/>
          <w:highlight w:val="none"/>
          <w:lang w:val="en-US" w:eastAsia="zh-CN"/>
        </w:rPr>
        <w:t>中标</w:t>
      </w:r>
      <w:r>
        <w:rPr>
          <w:rFonts w:hint="eastAsia" w:ascii="宋体" w:hAnsi="宋体" w:cs="宋体"/>
          <w:b/>
          <w:bCs/>
          <w:color w:val="auto"/>
          <w:sz w:val="24"/>
          <w:szCs w:val="24"/>
          <w:highlight w:val="none"/>
        </w:rPr>
        <w:t>供应商需按使用单位要求的颜色及采购文件中采购清单</w:t>
      </w:r>
      <w:r>
        <w:rPr>
          <w:rFonts w:hint="eastAsia" w:ascii="宋体" w:hAnsi="宋体" w:cs="宋体"/>
          <w:b/>
          <w:bCs/>
          <w:color w:val="auto"/>
          <w:sz w:val="24"/>
          <w:szCs w:val="24"/>
          <w:highlight w:val="none"/>
          <w:lang w:val="en-US" w:eastAsia="zh-CN"/>
        </w:rPr>
        <w:t>品目</w:t>
      </w:r>
      <w:r>
        <w:rPr>
          <w:rFonts w:hint="eastAsia" w:ascii="宋体" w:hAnsi="宋体" w:cs="宋体"/>
          <w:b/>
          <w:bCs/>
          <w:color w:val="auto"/>
          <w:sz w:val="24"/>
          <w:szCs w:val="24"/>
          <w:highlight w:val="none"/>
        </w:rPr>
        <w:t>序号</w:t>
      </w:r>
      <w:r>
        <w:rPr>
          <w:rFonts w:hint="eastAsia" w:ascii="宋体" w:hAnsi="宋体" w:cs="宋体"/>
          <w:b/>
          <w:bCs/>
          <w:color w:val="auto"/>
          <w:sz w:val="24"/>
          <w:szCs w:val="24"/>
          <w:highlight w:val="none"/>
          <w:lang w:val="en-US" w:eastAsia="zh-CN"/>
        </w:rPr>
        <w:t>1致序号7</w:t>
      </w:r>
      <w:r>
        <w:rPr>
          <w:rFonts w:hint="eastAsia" w:ascii="宋体" w:hAnsi="宋体" w:cs="宋体"/>
          <w:b/>
          <w:bCs/>
          <w:color w:val="auto"/>
          <w:sz w:val="24"/>
          <w:szCs w:val="24"/>
          <w:highlight w:val="none"/>
        </w:rPr>
        <w:t>的产品，要求在7个日历日内提供整套产品给使用单位确认。如</w:t>
      </w:r>
      <w:r>
        <w:rPr>
          <w:rFonts w:hint="eastAsia" w:ascii="宋体" w:hAnsi="宋体" w:cs="宋体"/>
          <w:b/>
          <w:bCs/>
          <w:color w:val="auto"/>
          <w:sz w:val="24"/>
          <w:szCs w:val="24"/>
          <w:highlight w:val="none"/>
          <w:lang w:val="en-US" w:eastAsia="zh-CN"/>
        </w:rPr>
        <w:t>中标</w:t>
      </w:r>
      <w:r>
        <w:rPr>
          <w:rFonts w:hint="eastAsia" w:ascii="宋体" w:hAnsi="宋体" w:cs="宋体"/>
          <w:b/>
          <w:bCs/>
          <w:color w:val="auto"/>
          <w:sz w:val="24"/>
          <w:szCs w:val="24"/>
          <w:highlight w:val="none"/>
        </w:rPr>
        <w:t>供应商无法提供整套产品，或者发现</w:t>
      </w:r>
      <w:r>
        <w:rPr>
          <w:rFonts w:hint="eastAsia" w:ascii="宋体" w:hAnsi="宋体" w:cs="宋体"/>
          <w:b/>
          <w:bCs/>
          <w:color w:val="auto"/>
          <w:sz w:val="24"/>
          <w:szCs w:val="24"/>
          <w:highlight w:val="none"/>
          <w:lang w:val="en-US" w:eastAsia="zh-CN"/>
        </w:rPr>
        <w:t>中标</w:t>
      </w:r>
      <w:r>
        <w:rPr>
          <w:rFonts w:hint="eastAsia" w:ascii="宋体" w:hAnsi="宋体" w:cs="宋体"/>
          <w:b/>
          <w:bCs/>
          <w:color w:val="auto"/>
          <w:sz w:val="24"/>
          <w:szCs w:val="24"/>
          <w:highlight w:val="none"/>
        </w:rPr>
        <w:t>供应商提供的产品与采购文件要求不一致，取消中标供应商资格并列入不良行为记录。（</w:t>
      </w:r>
      <w:r>
        <w:rPr>
          <w:rFonts w:hint="eastAsia" w:ascii="宋体" w:hAnsi="宋体" w:cs="宋体"/>
          <w:b/>
          <w:bCs/>
          <w:color w:val="auto"/>
          <w:sz w:val="24"/>
          <w:szCs w:val="24"/>
          <w:highlight w:val="none"/>
          <w:lang w:val="en-US" w:eastAsia="zh-CN"/>
        </w:rPr>
        <w:t>投标</w:t>
      </w:r>
      <w:r>
        <w:rPr>
          <w:rFonts w:hint="eastAsia" w:ascii="宋体" w:hAnsi="宋体" w:cs="宋体"/>
          <w:b/>
          <w:bCs/>
          <w:color w:val="auto"/>
          <w:sz w:val="24"/>
          <w:szCs w:val="24"/>
          <w:highlight w:val="none"/>
        </w:rPr>
        <w:t>人须在</w:t>
      </w:r>
      <w:r>
        <w:rPr>
          <w:rFonts w:hint="eastAsia" w:ascii="宋体" w:hAnsi="宋体" w:cs="宋体"/>
          <w:b/>
          <w:bCs/>
          <w:color w:val="auto"/>
          <w:sz w:val="24"/>
          <w:szCs w:val="24"/>
          <w:highlight w:val="none"/>
          <w:lang w:val="en-US" w:eastAsia="zh-CN"/>
        </w:rPr>
        <w:t>投标</w:t>
      </w:r>
      <w:r>
        <w:rPr>
          <w:rFonts w:hint="eastAsia" w:ascii="宋体" w:hAnsi="宋体" w:cs="宋体"/>
          <w:b/>
          <w:bCs/>
          <w:color w:val="auto"/>
          <w:sz w:val="24"/>
          <w:szCs w:val="24"/>
          <w:highlight w:val="none"/>
        </w:rPr>
        <w:t xml:space="preserve">文件中响应满足上述条款要求）。 </w:t>
      </w:r>
    </w:p>
    <w:p w14:paraId="081736D6">
      <w:pPr>
        <w:tabs>
          <w:tab w:val="left" w:pos="5130"/>
        </w:tabs>
        <w:spacing w:line="360" w:lineRule="auto"/>
        <w:ind w:firstLine="480" w:firstLineChars="200"/>
        <w:rPr>
          <w:rFonts w:hint="eastAsia" w:ascii="宋体" w:hAnsi="宋体"/>
          <w:color w:val="auto"/>
          <w:sz w:val="24"/>
          <w:szCs w:val="24"/>
          <w:highlight w:val="none"/>
        </w:rPr>
      </w:pPr>
    </w:p>
    <w:p w14:paraId="0656CE7B">
      <w:pPr>
        <w:spacing w:line="360" w:lineRule="auto"/>
        <w:ind w:right="28"/>
        <w:jc w:val="left"/>
        <w:rPr>
          <w:rFonts w:ascii="宋体" w:hAnsi="宋体"/>
          <w:b/>
          <w:color w:val="auto"/>
          <w:sz w:val="24"/>
          <w:szCs w:val="24"/>
          <w:highlight w:val="none"/>
        </w:rPr>
      </w:pPr>
      <w:r>
        <w:rPr>
          <w:rFonts w:hint="eastAsia" w:ascii="宋体" w:hAnsi="宋体"/>
          <w:color w:val="auto"/>
          <w:sz w:val="24"/>
          <w:szCs w:val="24"/>
          <w:highlight w:val="none"/>
          <w:lang w:val="en-US" w:eastAsia="zh-CN"/>
        </w:rPr>
        <w:t xml:space="preserve"> </w:t>
      </w:r>
      <w:r>
        <w:rPr>
          <w:rFonts w:ascii="宋体" w:hAnsi="宋体"/>
          <w:b/>
          <w:color w:val="auto"/>
          <w:sz w:val="24"/>
          <w:szCs w:val="24"/>
          <w:highlight w:val="none"/>
        </w:rPr>
        <w:t>二、</w:t>
      </w:r>
      <w:r>
        <w:rPr>
          <w:rFonts w:hint="eastAsia" w:ascii="宋体" w:hAnsi="宋体"/>
          <w:b/>
          <w:color w:val="auto"/>
          <w:sz w:val="24"/>
          <w:szCs w:val="24"/>
          <w:highlight w:val="none"/>
        </w:rPr>
        <w:t>采购要求</w:t>
      </w:r>
    </w:p>
    <w:p w14:paraId="5E047C45">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1．中标供应商生产前提供具体图纸供使用单位确认方可生产，价格不得调整。</w:t>
      </w:r>
    </w:p>
    <w:p w14:paraId="2A059234">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2．投标人应严格按照招标文件的规格、数量、技术及材质等要求进行报价。</w:t>
      </w:r>
    </w:p>
    <w:p w14:paraId="033E33BC">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3．投标人应在投标文件中提供主要生产设备清单（需提供主要生产加工设备、产地、数量、价值）。</w:t>
      </w:r>
    </w:p>
    <w:p w14:paraId="488CA95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4．投标人应在投标文件中提供质量管理、技术力量说明（主要生产技术骨干、质管人员的数量和职称）。</w:t>
      </w:r>
    </w:p>
    <w:p w14:paraId="1567DF78">
      <w:pPr>
        <w:pStyle w:val="9"/>
        <w:spacing w:before="0" w:beforeAutospacing="0" w:after="0" w:afterAutospacing="0" w:line="360" w:lineRule="auto"/>
        <w:ind w:firstLine="480" w:firstLineChars="200"/>
        <w:rPr>
          <w:rFonts w:cs="Times New Roman"/>
          <w:color w:val="auto"/>
          <w:kern w:val="2"/>
          <w:highlight w:val="none"/>
        </w:rPr>
      </w:pPr>
      <w:r>
        <w:rPr>
          <w:rFonts w:hint="eastAsia" w:cs="Times New Roman"/>
          <w:color w:val="auto"/>
          <w:kern w:val="2"/>
          <w:highlight w:val="none"/>
        </w:rPr>
        <w:t>5．投标人应根据国家标准(GB/T3324-2008木家具通用技术条件、GB/T3325-2008金属家具通用技术条件、GB 18584-2008木家具中有害物质限量、GB18583—2008 胶粘剂（溶剂型）中有害物质限量、GB18580—2001 人造板及其制品中甲醛释放限量、GB18581—2009 溶剂型木器涂料中有害物质限量、GB18582—2008 内墙涂料中有害物质限量、GB5296.6—2008 消费品使用说明（第6 部分家具）)、部颁标准(QB/T1951.1-2010 木家具、QB/T1951.2-2013 金属家具、QB/T1952.1-2012 软体家具沙发、QB/T2530-2011 木制柜）、人造木质板材执行标准：HBC17－2003、家具执行标准：HJ/T3030-2006、水性涂料执行标准：HJ/T 201─2005、胶粘剂执行标准：HJ/T 220-2005、其他国家及行业标准制作（上述标准若有更新，则以更新后的国家和部门标准执行），并在设计方案中详细说明家具的材料构成及辅材、配件(如材质、质量标准、厚度、产地、品牌、型号等)。</w:t>
      </w:r>
    </w:p>
    <w:p w14:paraId="6B1A39C8">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6．投标人需在投标文件中提供上述货物的实物图、效果图、生产分解图、货物选用材料的说明文件。</w:t>
      </w:r>
    </w:p>
    <w:p w14:paraId="765480D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7．投标人需将以上货物的参考指标与所投货物的技术指标、参数，在投标文件中分别列出，一一对应。</w:t>
      </w:r>
    </w:p>
    <w:p w14:paraId="61935903">
      <w:pPr>
        <w:widowControl/>
        <w:numPr>
          <w:ilvl w:val="0"/>
          <w:numId w:val="0"/>
        </w:numPr>
        <w:spacing w:line="360" w:lineRule="auto"/>
        <w:ind w:firstLine="470" w:firstLineChars="0"/>
        <w:jc w:val="left"/>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lang w:val="en-US" w:eastAsia="zh-CN" w:bidi="ar-SA"/>
        </w:rPr>
        <w:t>8</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rPr>
        <w:t>招标文件中涉及提供检测报告复印件的，中标后，</w:t>
      </w:r>
      <w:r>
        <w:rPr>
          <w:rFonts w:hint="eastAsia" w:ascii="宋体" w:hAnsi="宋体" w:cs="宋体"/>
          <w:bCs/>
          <w:color w:val="auto"/>
          <w:kern w:val="0"/>
          <w:sz w:val="24"/>
          <w:szCs w:val="24"/>
          <w:highlight w:val="none"/>
          <w:lang w:val="en-US" w:eastAsia="zh-CN"/>
        </w:rPr>
        <w:t>若出现质疑投诉，</w:t>
      </w:r>
      <w:r>
        <w:rPr>
          <w:rFonts w:hint="eastAsia" w:ascii="宋体" w:hAnsi="宋体" w:cs="宋体"/>
          <w:bCs/>
          <w:color w:val="auto"/>
          <w:kern w:val="0"/>
          <w:sz w:val="24"/>
          <w:szCs w:val="24"/>
          <w:highlight w:val="none"/>
        </w:rPr>
        <w:t>使用单位</w:t>
      </w:r>
      <w:r>
        <w:rPr>
          <w:rFonts w:hint="eastAsia" w:ascii="宋体" w:hAnsi="宋体" w:cs="宋体"/>
          <w:bCs/>
          <w:color w:val="auto"/>
          <w:kern w:val="0"/>
          <w:sz w:val="24"/>
          <w:szCs w:val="24"/>
          <w:highlight w:val="none"/>
          <w:lang w:val="en-US" w:eastAsia="zh-CN"/>
        </w:rPr>
        <w:t>或采购单位</w:t>
      </w:r>
      <w:r>
        <w:rPr>
          <w:rFonts w:hint="eastAsia" w:ascii="宋体" w:hAnsi="宋体" w:cs="宋体"/>
          <w:bCs/>
          <w:color w:val="auto"/>
          <w:kern w:val="0"/>
          <w:sz w:val="24"/>
          <w:szCs w:val="24"/>
          <w:highlight w:val="none"/>
        </w:rPr>
        <w:t>将要求中标供应商提供检测报告原件予以核对，中标供应商应在2日内提供检测报告原件。如中标供应商无法提供检测报告原件，或者发现中标供应商提供的检测报告原件与复印件不一致，或者经查询发现检测报告存在造假情形的，采购单位将向采购监管部门提请监督检查，取消中标供应商资格并列入不良行为记录。（投标人须在投标文件中响应满足上述条款要求）。</w:t>
      </w:r>
    </w:p>
    <w:p w14:paraId="6B73E17E">
      <w:pPr>
        <w:keepNext w:val="0"/>
        <w:keepLines w:val="0"/>
        <w:widowControl w:val="0"/>
        <w:suppressLineNumbers w:val="0"/>
        <w:tabs>
          <w:tab w:val="left" w:pos="630"/>
        </w:tabs>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rPr>
      </w:pPr>
      <w:r>
        <w:rPr>
          <w:rFonts w:hint="eastAsia" w:ascii="宋体" w:hAnsi="宋体" w:cs="宋体"/>
          <w:bCs/>
          <w:color w:val="auto"/>
          <w:kern w:val="0"/>
          <w:sz w:val="24"/>
          <w:szCs w:val="24"/>
          <w:highlight w:val="none"/>
          <w:lang w:val="en-US" w:eastAsia="zh-CN" w:bidi="ar-SA"/>
        </w:rPr>
        <w:t>9</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bidi="ar"/>
        </w:rPr>
        <w:t>由于市行政服务中心地下停车库不让限高&gt;2米车辆进入，因此送样品的车辆限高≦2米。不遵守此规定，后果自负。</w:t>
      </w:r>
    </w:p>
    <w:p w14:paraId="3007E859">
      <w:pPr>
        <w:spacing w:line="360" w:lineRule="auto"/>
        <w:ind w:firstLine="482" w:firstLineChars="200"/>
        <w:rPr>
          <w:rFonts w:hint="eastAsia" w:ascii="宋体" w:hAnsi="宋体" w:eastAsia="宋体" w:cs="Times New Roman"/>
          <w:b/>
          <w:bCs/>
          <w:i w:val="0"/>
          <w:iCs w:val="0"/>
          <w:caps w:val="0"/>
          <w:color w:val="auto"/>
          <w:spacing w:val="0"/>
          <w:sz w:val="24"/>
          <w:szCs w:val="24"/>
          <w:highlight w:val="none"/>
          <w:shd w:val="clear"/>
        </w:rPr>
      </w:pPr>
      <w:r>
        <w:rPr>
          <w:rFonts w:hint="eastAsia" w:ascii="宋体" w:hAnsi="宋体" w:eastAsia="宋体" w:cs="Times New Roman"/>
          <w:b/>
          <w:bCs/>
          <w:i w:val="0"/>
          <w:iCs w:val="0"/>
          <w:caps w:val="0"/>
          <w:color w:val="auto"/>
          <w:spacing w:val="0"/>
          <w:sz w:val="24"/>
          <w:szCs w:val="24"/>
          <w:highlight w:val="none"/>
          <w:shd w:val="clear"/>
        </w:rPr>
        <w:t>*</w:t>
      </w:r>
      <w:r>
        <w:rPr>
          <w:rFonts w:hint="eastAsia" w:ascii="宋体" w:hAnsi="宋体" w:cs="Times New Roman"/>
          <w:b/>
          <w:bCs/>
          <w:i w:val="0"/>
          <w:iCs w:val="0"/>
          <w:caps w:val="0"/>
          <w:color w:val="auto"/>
          <w:spacing w:val="0"/>
          <w:sz w:val="24"/>
          <w:szCs w:val="24"/>
          <w:highlight w:val="none"/>
          <w:shd w:val="clear"/>
          <w:lang w:val="en-US" w:eastAsia="zh-CN"/>
        </w:rPr>
        <w:t>10</w:t>
      </w:r>
      <w:r>
        <w:rPr>
          <w:rFonts w:hint="eastAsia" w:ascii="宋体" w:hAnsi="宋体" w:eastAsia="宋体" w:cs="Times New Roman"/>
          <w:b/>
          <w:bCs/>
          <w:i w:val="0"/>
          <w:iCs w:val="0"/>
          <w:caps w:val="0"/>
          <w:color w:val="auto"/>
          <w:spacing w:val="0"/>
          <w:sz w:val="24"/>
          <w:szCs w:val="24"/>
          <w:highlight w:val="none"/>
          <w:shd w:val="clear"/>
        </w:rPr>
        <w:t>、投标人在递交投标文件时应</w:t>
      </w:r>
      <w:r>
        <w:rPr>
          <w:rFonts w:hint="eastAsia" w:ascii="宋体" w:hAnsi="宋体" w:cs="Times New Roman"/>
          <w:b/>
          <w:bCs/>
          <w:i w:val="0"/>
          <w:iCs w:val="0"/>
          <w:caps w:val="0"/>
          <w:color w:val="auto"/>
          <w:spacing w:val="0"/>
          <w:sz w:val="24"/>
          <w:szCs w:val="24"/>
          <w:highlight w:val="none"/>
          <w:shd w:val="clear"/>
          <w:lang w:val="en-US" w:eastAsia="zh-CN"/>
        </w:rPr>
        <w:t>按样品清单</w:t>
      </w:r>
      <w:r>
        <w:rPr>
          <w:rFonts w:hint="eastAsia" w:ascii="宋体" w:hAnsi="宋体" w:eastAsia="宋体" w:cs="Times New Roman"/>
          <w:b/>
          <w:bCs/>
          <w:i w:val="0"/>
          <w:iCs w:val="0"/>
          <w:caps w:val="0"/>
          <w:color w:val="auto"/>
          <w:spacing w:val="0"/>
          <w:sz w:val="24"/>
          <w:szCs w:val="24"/>
          <w:highlight w:val="none"/>
          <w:shd w:val="clear"/>
        </w:rPr>
        <w:t>提供样品，提供的样品不符合采购内容要求的结构、外观造型或提供样品不齐全的（不接受 3D 打印小样</w:t>
      </w:r>
      <w:r>
        <w:rPr>
          <w:rFonts w:hint="eastAsia" w:ascii="宋体" w:hAnsi="宋体" w:eastAsia="宋体" w:cs="Times New Roman"/>
          <w:b/>
          <w:bCs/>
          <w:i w:val="0"/>
          <w:iCs w:val="0"/>
          <w:caps w:val="0"/>
          <w:color w:val="auto"/>
          <w:spacing w:val="0"/>
          <w:sz w:val="24"/>
          <w:szCs w:val="24"/>
          <w:highlight w:val="none"/>
          <w:shd w:val="clear"/>
          <w:lang w:eastAsia="zh-CN"/>
        </w:rPr>
        <w:t>，样品</w:t>
      </w:r>
      <w:r>
        <w:rPr>
          <w:rFonts w:hint="eastAsia" w:ascii="宋体" w:hAnsi="宋体" w:eastAsia="宋体" w:cs="Times New Roman"/>
          <w:b/>
          <w:bCs/>
          <w:i w:val="0"/>
          <w:iCs w:val="0"/>
          <w:caps w:val="0"/>
          <w:color w:val="auto"/>
          <w:spacing w:val="0"/>
          <w:sz w:val="24"/>
          <w:szCs w:val="24"/>
          <w:highlight w:val="none"/>
          <w:shd w:val="clear"/>
        </w:rPr>
        <w:t>尺寸偏差均不超过±2mm除有明确尺寸偏离值外），按无效投标处理。</w:t>
      </w:r>
    </w:p>
    <w:p w14:paraId="29A2D89E">
      <w:pPr>
        <w:spacing w:line="360" w:lineRule="auto"/>
        <w:ind w:firstLine="482" w:firstLineChars="200"/>
        <w:rPr>
          <w:rFonts w:hint="eastAsia" w:ascii="宋体" w:hAnsi="宋体" w:eastAsia="宋体" w:cs="Times New Roman"/>
          <w:b/>
          <w:bCs/>
          <w:i w:val="0"/>
          <w:iCs w:val="0"/>
          <w:caps w:val="0"/>
          <w:color w:val="auto"/>
          <w:spacing w:val="0"/>
          <w:sz w:val="24"/>
          <w:szCs w:val="24"/>
          <w:highlight w:val="none"/>
          <w:shd w:val="clear"/>
        </w:rPr>
      </w:pPr>
      <w:r>
        <w:rPr>
          <w:rFonts w:hint="eastAsia" w:ascii="宋体" w:hAnsi="宋体" w:eastAsia="宋体" w:cs="Times New Roman"/>
          <w:b/>
          <w:bCs/>
          <w:i w:val="0"/>
          <w:iCs w:val="0"/>
          <w:caps w:val="0"/>
          <w:color w:val="auto"/>
          <w:spacing w:val="0"/>
          <w:sz w:val="24"/>
          <w:szCs w:val="24"/>
          <w:highlight w:val="none"/>
          <w:shd w:val="clear"/>
        </w:rPr>
        <w:t>*</w:t>
      </w:r>
      <w:r>
        <w:rPr>
          <w:rFonts w:hint="eastAsia" w:ascii="宋体" w:hAnsi="宋体" w:cs="Times New Roman"/>
          <w:b/>
          <w:bCs/>
          <w:i w:val="0"/>
          <w:iCs w:val="0"/>
          <w:caps w:val="0"/>
          <w:color w:val="auto"/>
          <w:spacing w:val="0"/>
          <w:sz w:val="24"/>
          <w:szCs w:val="24"/>
          <w:highlight w:val="none"/>
          <w:shd w:val="clear"/>
          <w:lang w:val="en-US" w:eastAsia="zh-CN"/>
        </w:rPr>
        <w:t>11</w:t>
      </w:r>
      <w:r>
        <w:rPr>
          <w:rFonts w:hint="eastAsia" w:ascii="宋体" w:hAnsi="宋体" w:eastAsia="宋体" w:cs="Times New Roman"/>
          <w:b/>
          <w:bCs/>
          <w:i w:val="0"/>
          <w:iCs w:val="0"/>
          <w:caps w:val="0"/>
          <w:color w:val="auto"/>
          <w:spacing w:val="0"/>
          <w:sz w:val="24"/>
          <w:szCs w:val="24"/>
          <w:highlight w:val="none"/>
          <w:shd w:val="clear"/>
        </w:rPr>
        <w:t>、样品要求清单中带“*”的产品为必须满足的样品，投标人提供的样品不符合要求的结构、外观造型、或提供样品不齐全的，按无效投标处理</w:t>
      </w:r>
    </w:p>
    <w:p w14:paraId="78F9DE80">
      <w:pPr>
        <w:widowControl/>
        <w:spacing w:line="360" w:lineRule="auto"/>
        <w:ind w:firstLine="470"/>
        <w:jc w:val="left"/>
        <w:rPr>
          <w:rFonts w:hint="eastAsia" w:ascii="宋体" w:hAnsi="宋体"/>
          <w:b/>
          <w:color w:val="auto"/>
          <w:sz w:val="24"/>
          <w:szCs w:val="24"/>
          <w:highlight w:val="none"/>
        </w:rPr>
      </w:pP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12</w:t>
      </w:r>
      <w:r>
        <w:rPr>
          <w:rFonts w:hint="eastAsia" w:ascii="宋体" w:hAnsi="宋体"/>
          <w:b/>
          <w:bCs/>
          <w:color w:val="auto"/>
          <w:sz w:val="24"/>
          <w:szCs w:val="24"/>
          <w:highlight w:val="none"/>
        </w:rPr>
        <w:t>.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w:t>
      </w:r>
      <w:r>
        <w:rPr>
          <w:rFonts w:hint="eastAsia" w:ascii="宋体" w:hAnsi="宋体"/>
          <w:b/>
          <w:color w:val="auto"/>
          <w:sz w:val="24"/>
          <w:szCs w:val="24"/>
          <w:highlight w:val="none"/>
        </w:rPr>
        <w:t>送至</w:t>
      </w:r>
      <w:r>
        <w:rPr>
          <w:rFonts w:hint="eastAsia" w:ascii="宋体" w:hAnsi="宋体"/>
          <w:b/>
          <w:color w:val="auto"/>
          <w:sz w:val="24"/>
          <w:highlight w:val="none"/>
          <w:u w:val="single"/>
        </w:rPr>
        <w:t>厦门市湖里区云顶北路842号厦门市政务服务中心</w:t>
      </w:r>
      <w:r>
        <w:rPr>
          <w:rFonts w:hint="eastAsia" w:ascii="宋体" w:hAnsi="宋体"/>
          <w:b/>
          <w:color w:val="auto"/>
          <w:sz w:val="24"/>
          <w:highlight w:val="none"/>
          <w:u w:val="single"/>
          <w:lang w:eastAsia="zh-CN"/>
        </w:rPr>
        <w:t>负一楼</w:t>
      </w:r>
      <w:r>
        <w:rPr>
          <w:rFonts w:hint="eastAsia" w:ascii="宋体" w:hAnsi="宋体"/>
          <w:b/>
          <w:color w:val="auto"/>
          <w:sz w:val="24"/>
          <w:highlight w:val="none"/>
          <w:u w:val="single"/>
        </w:rPr>
        <w:t>样品间</w:t>
      </w:r>
      <w:r>
        <w:rPr>
          <w:rFonts w:hint="eastAsia" w:ascii="宋体" w:hAnsi="宋体"/>
          <w:b/>
          <w:color w:val="auto"/>
          <w:sz w:val="24"/>
          <w:szCs w:val="24"/>
          <w:highlight w:val="none"/>
        </w:rPr>
        <w:t>。</w:t>
      </w:r>
    </w:p>
    <w:p w14:paraId="2DF33286">
      <w:pPr>
        <w:keepNext w:val="0"/>
        <w:keepLines w:val="0"/>
        <w:widowControl w:val="0"/>
        <w:suppressLineNumbers w:val="0"/>
        <w:tabs>
          <w:tab w:val="left" w:pos="630"/>
        </w:tabs>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rPr>
      </w:pPr>
      <w:r>
        <w:rPr>
          <w:rFonts w:hint="eastAsia" w:ascii="宋体" w:hAnsi="宋体" w:cs="宋体"/>
          <w:bCs/>
          <w:color w:val="auto"/>
          <w:kern w:val="0"/>
          <w:sz w:val="24"/>
          <w:szCs w:val="24"/>
          <w:highlight w:val="none"/>
          <w:lang w:val="en-US" w:eastAsia="zh-CN" w:bidi="ar-SA"/>
        </w:rPr>
        <w:t>13</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bidi="ar"/>
        </w:rPr>
        <w:t>由于市行政服务中心地下停车库不让限高&gt;2米车辆进入，因此送样品的车辆限高≦2米。不遵守此规定，后果自负。</w:t>
      </w:r>
    </w:p>
    <w:p w14:paraId="1F56A837">
      <w:pPr>
        <w:pStyle w:val="10"/>
        <w:rPr>
          <w:rFonts w:hint="eastAsia"/>
          <w:color w:val="auto"/>
          <w:highlight w:val="none"/>
          <w:lang w:eastAsia="zh-CN"/>
        </w:rPr>
      </w:pPr>
    </w:p>
    <w:p w14:paraId="5A5B2EA3">
      <w:pPr>
        <w:pStyle w:val="10"/>
        <w:numPr>
          <w:ilvl w:val="0"/>
          <w:numId w:val="0"/>
        </w:numPr>
        <w:rPr>
          <w:color w:val="auto"/>
          <w:highlight w:val="none"/>
        </w:rPr>
      </w:pPr>
    </w:p>
    <w:p w14:paraId="26155226">
      <w:pPr>
        <w:spacing w:line="360" w:lineRule="auto"/>
        <w:ind w:right="-63" w:rightChars="-30"/>
        <w:rPr>
          <w:rFonts w:ascii="宋体" w:hAnsi="宋体"/>
          <w:b/>
          <w:color w:val="auto"/>
          <w:sz w:val="24"/>
          <w:szCs w:val="24"/>
          <w:highlight w:val="none"/>
        </w:rPr>
      </w:pPr>
      <w:r>
        <w:rPr>
          <w:rFonts w:hint="eastAsia" w:ascii="宋体" w:hAnsi="宋体"/>
          <w:b/>
          <w:color w:val="auto"/>
          <w:sz w:val="24"/>
          <w:szCs w:val="24"/>
          <w:highlight w:val="none"/>
        </w:rPr>
        <w:t>三、投标人资格证明要求</w:t>
      </w:r>
    </w:p>
    <w:p w14:paraId="161663B9">
      <w:pPr>
        <w:snapToGrid w:val="0"/>
        <w:spacing w:line="360" w:lineRule="auto"/>
        <w:ind w:firstLine="590" w:firstLineChars="245"/>
        <w:rPr>
          <w:rFonts w:ascii="宋体" w:hAnsi="宋体"/>
          <w:b/>
          <w:color w:val="auto"/>
          <w:sz w:val="24"/>
          <w:szCs w:val="24"/>
          <w:highlight w:val="none"/>
        </w:rPr>
      </w:pPr>
      <w:r>
        <w:rPr>
          <w:rFonts w:hint="eastAsia" w:ascii="宋体" w:hAnsi="宋体"/>
          <w:b/>
          <w:color w:val="auto"/>
          <w:sz w:val="24"/>
          <w:szCs w:val="24"/>
          <w:highlight w:val="none"/>
        </w:rPr>
        <w:t>*1.投标人应提供工商营业执照（副本）（加盖公章）的复印件。</w:t>
      </w:r>
    </w:p>
    <w:p w14:paraId="663230D4">
      <w:pPr>
        <w:pStyle w:val="9"/>
        <w:shd w:val="clear" w:color="auto" w:fill="FFFFFF"/>
        <w:spacing w:before="0" w:beforeAutospacing="0" w:after="0" w:afterAutospacing="0" w:line="360" w:lineRule="auto"/>
        <w:ind w:firstLine="470" w:firstLineChars="195"/>
        <w:rPr>
          <w:b/>
          <w:color w:val="auto"/>
          <w:highlight w:val="none"/>
        </w:rPr>
      </w:pPr>
      <w:r>
        <w:rPr>
          <w:rFonts w:hint="eastAsia"/>
          <w:b/>
          <w:color w:val="auto"/>
          <w:highlight w:val="none"/>
        </w:rPr>
        <w:t>*2.投标人全权代表若不是单位负责人，应提供单位授权书原件，并提供被授权代表身份证复印件。</w:t>
      </w:r>
    </w:p>
    <w:p w14:paraId="6C8343DE">
      <w:pPr>
        <w:pStyle w:val="9"/>
        <w:shd w:val="clear" w:color="auto" w:fill="FFFFFF"/>
        <w:spacing w:before="0" w:beforeAutospacing="0" w:after="0" w:afterAutospacing="0" w:line="360" w:lineRule="auto"/>
        <w:ind w:firstLine="470" w:firstLineChars="195"/>
        <w:rPr>
          <w:b/>
          <w:color w:val="auto"/>
          <w:highlight w:val="none"/>
        </w:rPr>
      </w:pPr>
      <w:r>
        <w:rPr>
          <w:rFonts w:hint="eastAsia"/>
          <w:b/>
          <w:color w:val="auto"/>
          <w:highlight w:val="none"/>
        </w:rPr>
        <w:t>*3、</w:t>
      </w:r>
      <w:r>
        <w:rPr>
          <w:b/>
          <w:color w:val="auto"/>
          <w:highlight w:val="none"/>
        </w:rPr>
        <w:t>本项目专门面向</w:t>
      </w:r>
      <w:r>
        <w:rPr>
          <w:rFonts w:hint="eastAsia"/>
          <w:b/>
          <w:color w:val="auto"/>
          <w:highlight w:val="none"/>
          <w:lang w:val="en-US" w:eastAsia="zh-CN"/>
        </w:rPr>
        <w:t>中小</w:t>
      </w:r>
      <w:r>
        <w:rPr>
          <w:b/>
          <w:color w:val="auto"/>
          <w:highlight w:val="none"/>
        </w:rPr>
        <w:t>企业采购，所投所有采购标的均为</w:t>
      </w:r>
      <w:r>
        <w:rPr>
          <w:rFonts w:hint="eastAsia"/>
          <w:b/>
          <w:color w:val="auto"/>
          <w:highlight w:val="none"/>
          <w:lang w:val="en-US" w:eastAsia="zh-CN"/>
        </w:rPr>
        <w:t>中小</w:t>
      </w:r>
      <w:r>
        <w:rPr>
          <w:rFonts w:hint="eastAsia"/>
          <w:b/>
          <w:color w:val="auto"/>
          <w:highlight w:val="none"/>
        </w:rPr>
        <w:t>型</w:t>
      </w:r>
      <w:r>
        <w:rPr>
          <w:b/>
          <w:color w:val="auto"/>
          <w:highlight w:val="none"/>
        </w:rPr>
        <w:t>企业制造，须提供声明函，且本项目不再执行价格评审优惠的扶持政策。本项目对应的</w:t>
      </w:r>
      <w:r>
        <w:rPr>
          <w:rFonts w:hint="eastAsia"/>
          <w:b/>
          <w:color w:val="auto"/>
          <w:highlight w:val="none"/>
          <w:lang w:val="en-US" w:eastAsia="zh-CN"/>
        </w:rPr>
        <w:t>中小</w:t>
      </w:r>
      <w:r>
        <w:rPr>
          <w:rFonts w:hint="eastAsia"/>
          <w:b/>
          <w:color w:val="auto"/>
          <w:highlight w:val="none"/>
        </w:rPr>
        <w:t>型</w:t>
      </w:r>
      <w:r>
        <w:rPr>
          <w:b/>
          <w:color w:val="auto"/>
          <w:highlight w:val="none"/>
        </w:rPr>
        <w:t>企业划分标准所属</w:t>
      </w:r>
      <w:r>
        <w:rPr>
          <w:rFonts w:hint="eastAsia"/>
          <w:b/>
          <w:color w:val="auto"/>
          <w:highlight w:val="none"/>
        </w:rPr>
        <w:t>工业行业。</w:t>
      </w:r>
    </w:p>
    <w:p w14:paraId="3720360E">
      <w:pPr>
        <w:pStyle w:val="9"/>
        <w:shd w:val="clear" w:color="auto" w:fill="FFFFFF"/>
        <w:spacing w:before="0" w:beforeAutospacing="0" w:after="0" w:afterAutospacing="0" w:line="360" w:lineRule="auto"/>
        <w:ind w:firstLine="470" w:firstLineChars="195"/>
        <w:rPr>
          <w:b/>
          <w:color w:val="auto"/>
          <w:highlight w:val="none"/>
        </w:rPr>
      </w:pPr>
    </w:p>
    <w:p w14:paraId="7F87CD41">
      <w:pPr>
        <w:pStyle w:val="9"/>
        <w:shd w:val="clear" w:color="auto" w:fill="FFFFFF"/>
        <w:spacing w:before="0" w:beforeAutospacing="0" w:after="0" w:afterAutospacing="0" w:line="360" w:lineRule="auto"/>
        <w:rPr>
          <w:b/>
          <w:color w:val="auto"/>
          <w:highlight w:val="none"/>
        </w:rPr>
      </w:pPr>
      <w:r>
        <w:rPr>
          <w:rFonts w:hint="eastAsia"/>
          <w:b/>
          <w:color w:val="auto"/>
          <w:highlight w:val="none"/>
        </w:rPr>
        <w:t>四、商务响应要求</w:t>
      </w:r>
    </w:p>
    <w:p w14:paraId="792B7C6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投标人应在投标文件中提供最近三年来在中国，类似项目的合同业绩证明材料（提供项目中标公告或中标通知书及合同复印件，加盖单位公章，原件备查），需提供项目名称、合同金额、中标日期、联系人、用户反馈意见。</w:t>
      </w:r>
    </w:p>
    <w:p w14:paraId="5755C5A6">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2.投标人应在投标文件中书面承诺自身已经具备自行生产所投价的全系列产品的能力。</w:t>
      </w:r>
    </w:p>
    <w:p w14:paraId="754C3A0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3.投标人应在投标文件中提供会计师事务所出具的上年审计报告和最近一期的会计报表及银行出具的资信证明文件；如属新企业需出具当年验资报告。</w:t>
      </w:r>
    </w:p>
    <w:p w14:paraId="7BC7E3D0">
      <w:pPr>
        <w:spacing w:line="360" w:lineRule="auto"/>
        <w:ind w:left="-178" w:leftChars="-85" w:right="359" w:rightChars="171" w:firstLine="361" w:firstLineChars="150"/>
        <w:rPr>
          <w:rFonts w:ascii="宋体" w:hAnsi="宋体"/>
          <w:b/>
          <w:color w:val="auto"/>
          <w:sz w:val="24"/>
          <w:szCs w:val="24"/>
          <w:highlight w:val="none"/>
        </w:rPr>
      </w:pPr>
      <w:r>
        <w:rPr>
          <w:rFonts w:hint="eastAsia" w:ascii="宋体" w:hAnsi="宋体"/>
          <w:b/>
          <w:color w:val="auto"/>
          <w:sz w:val="24"/>
          <w:szCs w:val="24"/>
          <w:highlight w:val="none"/>
        </w:rPr>
        <w:t>五、货物质量标准、验收标准</w:t>
      </w:r>
    </w:p>
    <w:p w14:paraId="191AF33B">
      <w:pPr>
        <w:pStyle w:val="4"/>
        <w:spacing w:after="0" w:line="360" w:lineRule="auto"/>
        <w:ind w:left="0" w:leftChars="0" w:firstLine="480" w:firstLineChars="200"/>
        <w:rPr>
          <w:rFonts w:ascii="宋体" w:hAnsi="宋体"/>
          <w:color w:val="auto"/>
          <w:sz w:val="24"/>
          <w:highlight w:val="none"/>
        </w:rPr>
      </w:pPr>
      <w:r>
        <w:rPr>
          <w:rFonts w:hint="eastAsia" w:ascii="宋体" w:hAnsi="宋体"/>
          <w:color w:val="auto"/>
          <w:sz w:val="24"/>
          <w:highlight w:val="none"/>
        </w:rPr>
        <w:t>1．投标人提供货物的制造标准、安装标准、验收标准及技术规范等有关资料应符合国家规定的有关标准、规范要求。</w:t>
      </w:r>
    </w:p>
    <w:p w14:paraId="14B288B3">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14:paraId="3515EC9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14:paraId="60C6F50B">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14:paraId="1E5EA82E">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5.投标人必须在投标文件中书面承诺：中标后生产前，向使用单位确定所供货物的相关事项，经使用单位书面确认是否增减后方可投入生产。否则，由此产生的一切后果由中标供应商负责。</w:t>
      </w:r>
    </w:p>
    <w:p w14:paraId="2173084E">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6、货物初验：货物运抵采购单位指定地点后由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1FF40DE1">
      <w:pPr>
        <w:pStyle w:val="5"/>
        <w:tabs>
          <w:tab w:val="left" w:pos="540"/>
        </w:tabs>
        <w:spacing w:line="360" w:lineRule="auto"/>
        <w:ind w:firstLine="480" w:firstLineChars="200"/>
        <w:rPr>
          <w:rFonts w:hAnsi="宋体"/>
          <w:color w:val="auto"/>
          <w:sz w:val="24"/>
          <w:szCs w:val="24"/>
          <w:highlight w:val="none"/>
        </w:rPr>
      </w:pPr>
      <w:r>
        <w:rPr>
          <w:rFonts w:hint="eastAsia" w:hAnsi="宋体"/>
          <w:color w:val="auto"/>
          <w:sz w:val="24"/>
          <w:szCs w:val="24"/>
          <w:highlight w:val="none"/>
        </w:rPr>
        <w:t>7.最终验收：中标供应商负责现场安装、调试，待性能指标经验收合格后（附验收报告），中标供应商应与采购单位共同签署《厦门市政府采购验收报告》。</w:t>
      </w:r>
    </w:p>
    <w:p w14:paraId="2665F6E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8.投标人必须在投标文件中书面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14:paraId="59296CB9">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9.投标人不得虚报各项技术指标，中标产品若不能符合技术要求、招标文件及合同约定的，采购单位有权退货并单方解除合同，中标供应商除退还所有的货款外，还应向支付合同总价50%的违约金。</w:t>
      </w:r>
    </w:p>
    <w:p w14:paraId="2FB635A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10.投标人必须在投标文件中书面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p w14:paraId="747C1CDA">
      <w:pPr>
        <w:spacing w:line="360" w:lineRule="auto"/>
        <w:ind w:left="-178" w:leftChars="-85" w:right="359" w:rightChars="171" w:firstLine="361" w:firstLineChars="150"/>
        <w:jc w:val="left"/>
        <w:rPr>
          <w:rFonts w:ascii="宋体" w:hAnsi="宋体"/>
          <w:b/>
          <w:color w:val="auto"/>
          <w:sz w:val="24"/>
          <w:szCs w:val="24"/>
          <w:highlight w:val="none"/>
        </w:rPr>
      </w:pPr>
      <w:r>
        <w:rPr>
          <w:rFonts w:hint="eastAsia" w:ascii="宋体" w:hAnsi="宋体"/>
          <w:b/>
          <w:color w:val="auto"/>
          <w:sz w:val="24"/>
          <w:szCs w:val="24"/>
          <w:highlight w:val="none"/>
        </w:rPr>
        <w:t>六、货物技术服务要求</w:t>
      </w:r>
    </w:p>
    <w:p w14:paraId="30D4B055">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default" w:ascii="宋体" w:hAnsi="宋体"/>
          <w:b/>
          <w:color w:val="auto"/>
          <w:sz w:val="24"/>
          <w:szCs w:val="24"/>
          <w:highlight w:val="none"/>
        </w:rPr>
        <w:t>5</w:t>
      </w:r>
      <w:r>
        <w:rPr>
          <w:rFonts w:hint="eastAsia" w:ascii="宋体" w:hAnsi="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p w14:paraId="78F0AC9E">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14:paraId="16A7014F">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1E55939E">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4.投标人如有其它更好的售后服务应在方案中书面声明。</w:t>
      </w:r>
    </w:p>
    <w:p w14:paraId="60800A6E">
      <w:pPr>
        <w:spacing w:line="360" w:lineRule="auto"/>
        <w:ind w:right="359" w:rightChars="171"/>
        <w:rPr>
          <w:rFonts w:ascii="宋体" w:hAnsi="宋体"/>
          <w:b/>
          <w:color w:val="auto"/>
          <w:sz w:val="24"/>
          <w:szCs w:val="24"/>
          <w:highlight w:val="none"/>
        </w:rPr>
      </w:pPr>
      <w:r>
        <w:rPr>
          <w:rFonts w:hint="eastAsia" w:ascii="宋体" w:hAnsi="宋体"/>
          <w:b/>
          <w:color w:val="auto"/>
          <w:sz w:val="24"/>
          <w:szCs w:val="24"/>
          <w:highlight w:val="none"/>
        </w:rPr>
        <w:t>七、货物报价</w:t>
      </w:r>
    </w:p>
    <w:p w14:paraId="70C8326B">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采购单位不接受有选择的报价。</w:t>
      </w:r>
    </w:p>
    <w:p w14:paraId="7DE6D074">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*2.本项目设有</w:t>
      </w:r>
      <w:r>
        <w:rPr>
          <w:rFonts w:hint="default" w:ascii="宋体" w:hAnsi="宋体"/>
          <w:b/>
          <w:color w:val="auto"/>
          <w:sz w:val="24"/>
          <w:szCs w:val="24"/>
          <w:highlight w:val="none"/>
        </w:rPr>
        <w:t>采购</w:t>
      </w:r>
      <w:r>
        <w:rPr>
          <w:rFonts w:hint="eastAsia" w:ascii="宋体" w:hAnsi="宋体"/>
          <w:b/>
          <w:color w:val="auto"/>
          <w:sz w:val="24"/>
          <w:szCs w:val="24"/>
          <w:highlight w:val="none"/>
          <w:lang w:val="en-US" w:eastAsia="zh-CN"/>
        </w:rPr>
        <w:t>控制价</w:t>
      </w:r>
      <w:r>
        <w:rPr>
          <w:rFonts w:hint="eastAsia" w:ascii="宋体" w:hAnsi="宋体"/>
          <w:b/>
          <w:color w:val="auto"/>
          <w:sz w:val="24"/>
          <w:szCs w:val="24"/>
          <w:highlight w:val="none"/>
        </w:rPr>
        <w:t>为人民币</w:t>
      </w:r>
      <w:r>
        <w:rPr>
          <w:rFonts w:hint="eastAsia" w:ascii="宋体" w:hAnsi="宋体"/>
          <w:b/>
          <w:color w:val="auto"/>
          <w:sz w:val="24"/>
          <w:szCs w:val="24"/>
          <w:highlight w:val="none"/>
          <w:lang w:val="en-US" w:eastAsia="zh-CN"/>
        </w:rPr>
        <w:t>350</w:t>
      </w:r>
      <w:r>
        <w:rPr>
          <w:rFonts w:hint="eastAsia" w:ascii="宋体" w:hAnsi="宋体"/>
          <w:b/>
          <w:color w:val="auto"/>
          <w:sz w:val="24"/>
          <w:szCs w:val="24"/>
          <w:highlight w:val="none"/>
        </w:rPr>
        <w:t>万元，投标人的报价不得超过以上</w:t>
      </w:r>
      <w:r>
        <w:rPr>
          <w:rFonts w:hint="default" w:ascii="宋体" w:hAnsi="宋体"/>
          <w:b/>
          <w:color w:val="auto"/>
          <w:sz w:val="24"/>
          <w:szCs w:val="24"/>
          <w:highlight w:val="none"/>
        </w:rPr>
        <w:t>采购</w:t>
      </w:r>
      <w:r>
        <w:rPr>
          <w:rFonts w:hint="eastAsia" w:ascii="宋体" w:hAnsi="宋体"/>
          <w:b/>
          <w:color w:val="auto"/>
          <w:sz w:val="24"/>
          <w:szCs w:val="24"/>
          <w:highlight w:val="none"/>
          <w:lang w:val="en-US" w:eastAsia="zh-CN"/>
        </w:rPr>
        <w:t>控制价</w:t>
      </w:r>
      <w:r>
        <w:rPr>
          <w:rFonts w:hint="eastAsia" w:ascii="宋体" w:hAnsi="宋体"/>
          <w:b/>
          <w:color w:val="auto"/>
          <w:sz w:val="24"/>
          <w:szCs w:val="24"/>
          <w:highlight w:val="none"/>
        </w:rPr>
        <w:t>，否则将按无效投标处理。</w:t>
      </w:r>
    </w:p>
    <w:p w14:paraId="5D582D3D">
      <w:pPr>
        <w:spacing w:line="360" w:lineRule="auto"/>
        <w:ind w:firstLine="498" w:firstLineChars="200"/>
        <w:rPr>
          <w:rFonts w:ascii="宋体" w:hAnsi="宋体"/>
          <w:b/>
          <w:color w:val="auto"/>
          <w:sz w:val="24"/>
          <w:szCs w:val="24"/>
          <w:highlight w:val="none"/>
        </w:rPr>
      </w:pPr>
      <w:r>
        <w:rPr>
          <w:rFonts w:hint="eastAsia" w:ascii="宋体" w:hAnsi="宋体"/>
          <w:b/>
          <w:color w:val="auto"/>
          <w:spacing w:val="4"/>
          <w:sz w:val="24"/>
          <w:highlight w:val="none"/>
        </w:rPr>
        <w:t>3、</w:t>
      </w:r>
      <w:r>
        <w:rPr>
          <w:rFonts w:hint="eastAsia" w:ascii="宋体" w:hAnsi="宋体"/>
          <w:b/>
          <w:color w:val="auto"/>
          <w:sz w:val="24"/>
          <w:highlight w:val="none"/>
        </w:rPr>
        <w:t>报价应分单价、小计、总价。</w:t>
      </w:r>
    </w:p>
    <w:p w14:paraId="3FA3392F">
      <w:pPr>
        <w:spacing w:line="360" w:lineRule="auto"/>
        <w:ind w:firstLine="378"/>
        <w:rPr>
          <w:rFonts w:hint="eastAsia" w:ascii="宋体" w:hAnsi="宋体" w:eastAsia="宋体" w:cs="宋体"/>
          <w:color w:val="auto"/>
          <w:sz w:val="24"/>
          <w:szCs w:val="24"/>
          <w:highlight w:val="none"/>
        </w:rPr>
      </w:pPr>
      <w:r>
        <w:rPr>
          <w:rFonts w:hint="eastAsia" w:ascii="宋体" w:hAnsi="宋体"/>
          <w:b/>
          <w:color w:val="auto"/>
          <w:sz w:val="24"/>
          <w:szCs w:val="24"/>
          <w:highlight w:val="none"/>
        </w:rPr>
        <w:t>八、付款方式</w:t>
      </w:r>
      <w:r>
        <w:rPr>
          <w:rFonts w:hint="eastAsia" w:ascii="宋体" w:hAnsi="宋体"/>
          <w:color w:val="auto"/>
          <w:kern w:val="0"/>
          <w:sz w:val="24"/>
          <w:szCs w:val="24"/>
          <w:highlight w:val="none"/>
        </w:rPr>
        <w:br w:type="textWrapping"/>
      </w:r>
      <w:r>
        <w:rPr>
          <w:rFonts w:hint="eastAsia" w:ascii="宋体" w:hAnsi="宋体"/>
          <w:color w:val="auto"/>
          <w:kern w:val="0"/>
          <w:sz w:val="24"/>
          <w:szCs w:val="24"/>
          <w:highlight w:val="none"/>
        </w:rPr>
        <w:t xml:space="preserve">   1</w:t>
      </w:r>
      <w:r>
        <w:rPr>
          <w:rFonts w:hint="eastAsia" w:ascii="宋体" w:hAnsi="宋体"/>
          <w:color w:val="auto"/>
          <w:kern w:val="0"/>
          <w:sz w:val="24"/>
          <w:szCs w:val="24"/>
          <w:highlight w:val="none"/>
          <w:lang w:val="en-US" w:eastAsia="zh-CN"/>
        </w:rPr>
        <w:t>.</w:t>
      </w:r>
      <w:r>
        <w:rPr>
          <w:rFonts w:hint="eastAsia" w:ascii="宋体" w:hAnsi="宋体" w:eastAsia="宋体" w:cs="宋体"/>
          <w:color w:val="auto"/>
          <w:sz w:val="24"/>
          <w:szCs w:val="24"/>
          <w:highlight w:val="none"/>
        </w:rPr>
        <w:t>由采购单位根据厦门市财政局的有关规定和合同约定付款。</w:t>
      </w:r>
    </w:p>
    <w:p w14:paraId="0EECD3EF">
      <w:pPr>
        <w:tabs>
          <w:tab w:val="left" w:pos="5130"/>
        </w:tabs>
        <w:spacing w:line="360" w:lineRule="auto"/>
        <w:ind w:firstLine="240" w:firstLineChars="100"/>
        <w:rPr>
          <w:rFonts w:ascii="宋体" w:hAnsi="宋体"/>
          <w:color w:val="auto"/>
          <w:sz w:val="24"/>
          <w:szCs w:val="24"/>
          <w:highlight w:val="none"/>
        </w:rPr>
      </w:pPr>
    </w:p>
    <w:p w14:paraId="3E5C8BF8">
      <w:pPr>
        <w:spacing w:line="360" w:lineRule="auto"/>
        <w:rPr>
          <w:rFonts w:ascii="宋体" w:hAnsi="宋体"/>
          <w:b/>
          <w:color w:val="auto"/>
          <w:sz w:val="24"/>
          <w:szCs w:val="24"/>
          <w:highlight w:val="none"/>
        </w:rPr>
      </w:pPr>
      <w:r>
        <w:rPr>
          <w:rFonts w:hint="eastAsia" w:ascii="宋体" w:hAnsi="宋体"/>
          <w:b/>
          <w:color w:val="auto"/>
          <w:sz w:val="24"/>
          <w:szCs w:val="24"/>
          <w:highlight w:val="none"/>
        </w:rPr>
        <w:t>九、合同签订</w:t>
      </w:r>
    </w:p>
    <w:p w14:paraId="48E5A2A8">
      <w:pPr>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1.中标供应商接到中标通知书后20个日历日内，持中标通知书与采购单位签订合同。</w:t>
      </w:r>
    </w:p>
    <w:p w14:paraId="7B66067B">
      <w:pPr>
        <w:spacing w:line="360" w:lineRule="auto"/>
        <w:ind w:firstLine="378"/>
        <w:rPr>
          <w:rFonts w:ascii="宋体" w:hAnsi="宋体"/>
          <w:color w:val="auto"/>
          <w:sz w:val="24"/>
          <w:szCs w:val="24"/>
          <w:highlight w:val="none"/>
        </w:rPr>
      </w:pPr>
      <w:r>
        <w:rPr>
          <w:rFonts w:hint="eastAsia" w:ascii="宋体" w:hAnsi="宋体"/>
          <w:color w:val="auto"/>
          <w:sz w:val="24"/>
          <w:szCs w:val="24"/>
          <w:highlight w:val="none"/>
        </w:rPr>
        <w:t>2.招标文件、投标文件均作为合同订立的基础，为合同组成部分。</w:t>
      </w:r>
    </w:p>
    <w:p w14:paraId="314F40ED">
      <w:pPr>
        <w:widowControl/>
        <w:spacing w:line="360" w:lineRule="auto"/>
        <w:ind w:right="-63" w:rightChars="-30"/>
        <w:jc w:val="left"/>
        <w:rPr>
          <w:rFonts w:ascii="宋体" w:hAnsi="宋体"/>
          <w:color w:val="auto"/>
          <w:sz w:val="24"/>
          <w:szCs w:val="24"/>
          <w:highlight w:val="none"/>
        </w:rPr>
      </w:pPr>
      <w:r>
        <w:rPr>
          <w:rFonts w:hint="eastAsia" w:ascii="宋体" w:hAnsi="宋体"/>
          <w:b/>
          <w:color w:val="auto"/>
          <w:sz w:val="24"/>
          <w:szCs w:val="24"/>
          <w:highlight w:val="none"/>
        </w:rPr>
        <w:t xml:space="preserve">十、其他事项 </w:t>
      </w:r>
    </w:p>
    <w:p w14:paraId="15D9F7B8">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lang w:val="en-US" w:eastAsia="zh-CN"/>
        </w:rPr>
        <w:t>*</w:t>
      </w:r>
      <w:r>
        <w:rPr>
          <w:rFonts w:hint="eastAsia" w:ascii="宋体" w:hAnsi="宋体"/>
          <w:b/>
          <w:color w:val="auto"/>
          <w:sz w:val="24"/>
          <w:szCs w:val="24"/>
          <w:highlight w:val="none"/>
        </w:rPr>
        <w:t>1.交付使用期：</w:t>
      </w:r>
      <w:r>
        <w:rPr>
          <w:rFonts w:hint="eastAsia" w:ascii="宋体" w:hAnsi="宋体"/>
          <w:b/>
          <w:color w:val="auto"/>
          <w:sz w:val="24"/>
          <w:szCs w:val="24"/>
          <w:highlight w:val="none"/>
          <w:lang w:val="en-US" w:eastAsia="zh-CN"/>
        </w:rPr>
        <w:t>合同签订后30个日历日内完成</w:t>
      </w:r>
      <w:r>
        <w:rPr>
          <w:rFonts w:hint="eastAsia" w:ascii="宋体" w:hAnsi="宋体"/>
          <w:b/>
          <w:color w:val="auto"/>
          <w:sz w:val="24"/>
          <w:szCs w:val="24"/>
          <w:highlight w:val="none"/>
        </w:rPr>
        <w:t>交货及安装。</w:t>
      </w:r>
    </w:p>
    <w:p w14:paraId="3073F357">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2.投标人提供公司的基本情况、业绩、主要技术人员及资信证明。</w:t>
      </w:r>
    </w:p>
    <w:p w14:paraId="78A0C2F2">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3．投标人在投标文件中详细说明所投货物的技术水平、性能等(材质构成、油漆、内外部结构、五金配件、制造工艺、生产流程、加工设备及其它)。</w:t>
      </w:r>
    </w:p>
    <w:p w14:paraId="3CCEFC41">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4．附件及零配件：投标人应列出备品/备件及附件的清单及价格。</w:t>
      </w:r>
    </w:p>
    <w:p w14:paraId="3A9083AF">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5．投标人认为有必要提供的其它技术资料。</w:t>
      </w:r>
    </w:p>
    <w:p w14:paraId="154A862B">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6．投标人若有其它方面的特殊功能及优惠条件，可在投标文件中注明。</w:t>
      </w:r>
    </w:p>
    <w:p w14:paraId="034EDB34">
      <w:pPr>
        <w:spacing w:line="360" w:lineRule="auto"/>
        <w:ind w:firstLine="480" w:firstLineChars="200"/>
        <w:rPr>
          <w:rFonts w:hint="eastAsia" w:ascii="宋体" w:hAnsi="宋体"/>
          <w:bCs/>
          <w:color w:val="auto"/>
          <w:sz w:val="24"/>
          <w:szCs w:val="24"/>
          <w:highlight w:val="none"/>
        </w:rPr>
      </w:pPr>
      <w:r>
        <w:rPr>
          <w:rFonts w:hint="eastAsia" w:ascii="宋体" w:hAnsi="宋体"/>
          <w:bCs/>
          <w:color w:val="auto"/>
          <w:sz w:val="24"/>
          <w:szCs w:val="24"/>
          <w:highlight w:val="none"/>
        </w:rPr>
        <w:t>7</w:t>
      </w:r>
      <w:r>
        <w:rPr>
          <w:rFonts w:hint="eastAsia" w:ascii="宋体" w:hAnsi="宋体"/>
          <w:color w:val="auto"/>
          <w:sz w:val="24"/>
          <w:szCs w:val="24"/>
          <w:highlight w:val="none"/>
        </w:rPr>
        <w:t>．如</w:t>
      </w:r>
      <w:r>
        <w:rPr>
          <w:rFonts w:hint="eastAsia" w:ascii="宋体" w:hAnsi="宋体"/>
          <w:bCs/>
          <w:color w:val="auto"/>
          <w:sz w:val="24"/>
          <w:szCs w:val="24"/>
          <w:highlight w:val="none"/>
        </w:rPr>
        <w:t>采购单位对采购数量有所调整，将按中标单价调整合同总价，中标供应商不得有异议。如款式及型号有所变动必须经采购单位书面确认，涉及单价变动的以中标单价为基准，由采购单位和中标供应商协商确定。</w:t>
      </w:r>
    </w:p>
    <w:p w14:paraId="2888856C">
      <w:pPr>
        <w:tabs>
          <w:tab w:val="left" w:pos="5130"/>
        </w:tabs>
        <w:spacing w:line="360" w:lineRule="auto"/>
        <w:ind w:firstLine="480" w:firstLineChars="200"/>
        <w:rPr>
          <w:rFonts w:ascii="宋体" w:hAnsi="宋体"/>
          <w:color w:val="auto"/>
          <w:sz w:val="24"/>
          <w:highlight w:val="none"/>
        </w:rPr>
      </w:pPr>
      <w:r>
        <w:rPr>
          <w:rFonts w:hint="eastAsia" w:ascii="宋体" w:hAnsi="宋体" w:cs="Times New Roman"/>
          <w:bCs/>
          <w:color w:val="auto"/>
          <w:sz w:val="24"/>
          <w:szCs w:val="24"/>
          <w:highlight w:val="none"/>
          <w:lang w:val="en-US" w:eastAsia="zh-CN"/>
        </w:rPr>
        <w:t xml:space="preserve"> </w:t>
      </w:r>
    </w:p>
    <w:p w14:paraId="13978E6D">
      <w:pPr>
        <w:tabs>
          <w:tab w:val="left" w:pos="5130"/>
        </w:tabs>
        <w:spacing w:line="360" w:lineRule="auto"/>
        <w:ind w:firstLine="560" w:firstLineChars="200"/>
        <w:rPr>
          <w:rFonts w:ascii="宋体" w:hAnsi="宋体" w:cs="宋体"/>
          <w:color w:val="auto"/>
          <w:sz w:val="28"/>
          <w:szCs w:val="28"/>
          <w:highlight w:val="none"/>
        </w:rPr>
      </w:pPr>
    </w:p>
    <w:p w14:paraId="18ADFF52">
      <w:pPr>
        <w:tabs>
          <w:tab w:val="left" w:pos="5130"/>
        </w:tabs>
        <w:spacing w:line="360" w:lineRule="auto"/>
        <w:ind w:firstLine="560" w:firstLineChars="200"/>
        <w:rPr>
          <w:rFonts w:ascii="宋体" w:hAnsi="宋体" w:cs="宋体"/>
          <w:color w:val="auto"/>
          <w:sz w:val="28"/>
          <w:szCs w:val="28"/>
          <w:highlight w:val="none"/>
        </w:rPr>
      </w:pPr>
    </w:p>
    <w:p w14:paraId="1EFFCFA6">
      <w:pPr>
        <w:tabs>
          <w:tab w:val="left" w:pos="5130"/>
        </w:tabs>
        <w:spacing w:line="360" w:lineRule="auto"/>
        <w:ind w:firstLine="480" w:firstLineChars="200"/>
        <w:rPr>
          <w:rFonts w:hint="eastAsia" w:ascii="宋体" w:hAnsi="宋体" w:eastAsia="宋体" w:cs="宋体"/>
          <w:color w:val="auto"/>
          <w:sz w:val="24"/>
          <w:szCs w:val="24"/>
          <w:highlight w:val="none"/>
          <w:lang w:eastAsia="zh-CN"/>
        </w:rPr>
      </w:pPr>
    </w:p>
    <w:p w14:paraId="6394D5D2">
      <w:pPr>
        <w:tabs>
          <w:tab w:val="left" w:pos="5130"/>
        </w:tabs>
        <w:spacing w:line="360" w:lineRule="auto"/>
        <w:ind w:firstLine="480" w:firstLineChars="200"/>
        <w:rPr>
          <w:rFonts w:hint="eastAsia" w:ascii="宋体" w:hAnsi="宋体" w:eastAsia="宋体" w:cs="宋体"/>
          <w:color w:val="auto"/>
          <w:sz w:val="24"/>
          <w:szCs w:val="24"/>
          <w:highlight w:val="none"/>
        </w:rPr>
      </w:pPr>
    </w:p>
    <w:p w14:paraId="6E2EC59A">
      <w:pPr>
        <w:tabs>
          <w:tab w:val="left" w:pos="5130"/>
        </w:tabs>
        <w:spacing w:line="360" w:lineRule="auto"/>
        <w:ind w:firstLine="480" w:firstLineChars="200"/>
        <w:rPr>
          <w:rFonts w:hint="eastAsia" w:ascii="宋体" w:hAnsi="宋体" w:eastAsia="宋体" w:cs="宋体"/>
          <w:color w:val="auto"/>
          <w:sz w:val="24"/>
          <w:szCs w:val="24"/>
          <w:highlight w:val="none"/>
        </w:rPr>
      </w:pPr>
    </w:p>
    <w:p w14:paraId="7B052869">
      <w:pPr>
        <w:tabs>
          <w:tab w:val="left" w:pos="5130"/>
        </w:tabs>
        <w:spacing w:line="360" w:lineRule="auto"/>
        <w:ind w:firstLine="480" w:firstLineChars="200"/>
        <w:rPr>
          <w:rFonts w:hint="eastAsia" w:ascii="宋体" w:hAnsi="宋体" w:eastAsia="宋体" w:cs="宋体"/>
          <w:color w:val="auto"/>
          <w:sz w:val="24"/>
          <w:szCs w:val="24"/>
          <w:highlight w:val="none"/>
        </w:rPr>
      </w:pPr>
    </w:p>
    <w:p w14:paraId="1D2B5D9E">
      <w:pPr>
        <w:tabs>
          <w:tab w:val="left" w:pos="5130"/>
        </w:tabs>
        <w:spacing w:line="360" w:lineRule="auto"/>
        <w:ind w:firstLine="480" w:firstLineChars="200"/>
        <w:rPr>
          <w:rFonts w:hint="eastAsia" w:ascii="宋体" w:hAnsi="宋体" w:eastAsia="宋体" w:cs="宋体"/>
          <w:color w:val="auto"/>
          <w:sz w:val="24"/>
          <w:szCs w:val="24"/>
          <w:highlight w:val="none"/>
        </w:rPr>
      </w:pPr>
    </w:p>
    <w:p w14:paraId="5EFEB6C6">
      <w:pPr>
        <w:tabs>
          <w:tab w:val="left" w:pos="5130"/>
        </w:tabs>
        <w:spacing w:line="360" w:lineRule="auto"/>
        <w:ind w:firstLine="480" w:firstLineChars="200"/>
        <w:rPr>
          <w:rFonts w:hint="eastAsia" w:ascii="宋体" w:hAnsi="宋体" w:eastAsia="宋体" w:cs="宋体"/>
          <w:color w:val="auto"/>
          <w:sz w:val="24"/>
          <w:szCs w:val="24"/>
          <w:highlight w:val="none"/>
        </w:rPr>
      </w:pPr>
    </w:p>
    <w:p w14:paraId="27B14FA9">
      <w:pPr>
        <w:tabs>
          <w:tab w:val="left" w:pos="5130"/>
        </w:tabs>
        <w:spacing w:line="360" w:lineRule="auto"/>
        <w:ind w:firstLine="480" w:firstLineChars="200"/>
        <w:rPr>
          <w:rFonts w:hint="eastAsia" w:ascii="宋体" w:hAnsi="宋体" w:eastAsia="宋体" w:cs="宋体"/>
          <w:color w:val="auto"/>
          <w:sz w:val="24"/>
          <w:szCs w:val="24"/>
          <w:highlight w:val="none"/>
        </w:rPr>
      </w:pPr>
    </w:p>
    <w:p w14:paraId="75F6B75C">
      <w:pPr>
        <w:spacing w:line="360" w:lineRule="auto"/>
        <w:rPr>
          <w:rFonts w:hint="eastAsia" w:ascii="宋体" w:hAnsi="宋体" w:eastAsia="宋体" w:cs="宋体"/>
          <w:b/>
          <w:color w:val="auto"/>
          <w:sz w:val="32"/>
          <w:szCs w:val="32"/>
          <w:highlight w:val="none"/>
        </w:rPr>
        <w:sectPr>
          <w:headerReference r:id="rId8" w:type="default"/>
          <w:footerReference r:id="rId9" w:type="default"/>
          <w:pgSz w:w="11906" w:h="16838"/>
          <w:pgMar w:top="851" w:right="851" w:bottom="851" w:left="1134" w:header="567" w:footer="567" w:gutter="0"/>
          <w:pgBorders>
            <w:top w:val="none" w:sz="0" w:space="0"/>
            <w:left w:val="none" w:sz="0" w:space="0"/>
            <w:bottom w:val="none" w:sz="0" w:space="0"/>
            <w:right w:val="none" w:sz="0" w:space="0"/>
          </w:pgBorders>
          <w:pgNumType w:start="1"/>
          <w:cols w:space="720" w:num="1"/>
          <w:docGrid w:linePitch="312" w:charSpace="0"/>
        </w:sectPr>
      </w:pPr>
    </w:p>
    <w:p w14:paraId="06D06E1D">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附表：</w:t>
      </w:r>
    </w:p>
    <w:p w14:paraId="3C91105F">
      <w:pPr>
        <w:spacing w:line="360" w:lineRule="auto"/>
        <w:ind w:firstLine="630" w:firstLineChars="196"/>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技术规格及商务响应表</w:t>
      </w:r>
    </w:p>
    <w:p w14:paraId="0ABB41C7">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（投标人应针对下表中体现的招标要求及“投标人须知前附表2:资格性、符合性检查表”内容逐条说明投标响应情况，并附上相应资料，投标响应对应的页码以及偏离说明）</w:t>
      </w:r>
    </w:p>
    <w:tbl>
      <w:tblPr>
        <w:tblStyle w:val="11"/>
        <w:tblW w:w="102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707"/>
        <w:gridCol w:w="709"/>
        <w:gridCol w:w="5386"/>
        <w:gridCol w:w="779"/>
        <w:gridCol w:w="935"/>
        <w:gridCol w:w="775"/>
      </w:tblGrid>
      <w:tr w14:paraId="3233D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62" w:type="dxa"/>
            <w:gridSpan w:val="4"/>
            <w:tcBorders>
              <w:top w:val="single" w:color="auto" w:sz="4" w:space="0"/>
              <w:left w:val="single" w:color="auto" w:sz="4" w:space="0"/>
              <w:bottom w:val="single" w:color="auto" w:sz="4" w:space="0"/>
              <w:right w:val="single" w:color="auto" w:sz="4" w:space="0"/>
            </w:tcBorders>
            <w:vAlign w:val="center"/>
          </w:tcPr>
          <w:p w14:paraId="5E9C8ED2">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招标要求</w:t>
            </w:r>
          </w:p>
        </w:tc>
        <w:tc>
          <w:tcPr>
            <w:tcW w:w="2489" w:type="dxa"/>
            <w:gridSpan w:val="3"/>
            <w:tcBorders>
              <w:top w:val="single" w:color="auto" w:sz="4" w:space="0"/>
              <w:left w:val="single" w:color="auto" w:sz="4" w:space="0"/>
              <w:bottom w:val="single" w:color="auto" w:sz="4" w:space="0"/>
              <w:right w:val="single" w:color="auto" w:sz="4" w:space="0"/>
            </w:tcBorders>
            <w:vAlign w:val="center"/>
          </w:tcPr>
          <w:p w14:paraId="3B419AB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投标响应</w:t>
            </w:r>
          </w:p>
        </w:tc>
      </w:tr>
      <w:tr w14:paraId="41FD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tcBorders>
              <w:top w:val="single" w:color="auto" w:sz="4" w:space="0"/>
              <w:left w:val="single" w:color="auto" w:sz="4" w:space="0"/>
              <w:bottom w:val="single" w:color="auto" w:sz="4" w:space="0"/>
              <w:right w:val="single" w:color="auto" w:sz="4" w:space="0"/>
            </w:tcBorders>
            <w:vAlign w:val="center"/>
          </w:tcPr>
          <w:p w14:paraId="07AB222F">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r>
              <w:rPr>
                <w:rFonts w:hint="eastAsia" w:ascii="宋体" w:hAnsi="宋体" w:cs="宋体"/>
                <w:color w:val="auto"/>
                <w:sz w:val="21"/>
                <w:szCs w:val="21"/>
                <w:highlight w:val="none"/>
              </w:rPr>
              <w:t>合同包/品目号</w:t>
            </w:r>
          </w:p>
        </w:tc>
        <w:tc>
          <w:tcPr>
            <w:tcW w:w="707" w:type="dxa"/>
            <w:tcBorders>
              <w:top w:val="single" w:color="auto" w:sz="4" w:space="0"/>
              <w:left w:val="single" w:color="auto" w:sz="4" w:space="0"/>
              <w:bottom w:val="single" w:color="auto" w:sz="4" w:space="0"/>
              <w:right w:val="single" w:color="auto" w:sz="4" w:space="0"/>
            </w:tcBorders>
            <w:vAlign w:val="center"/>
          </w:tcPr>
          <w:p w14:paraId="33FA33EE">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货物</w:t>
            </w:r>
          </w:p>
          <w:p w14:paraId="263AEC3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名称</w:t>
            </w:r>
          </w:p>
        </w:tc>
        <w:tc>
          <w:tcPr>
            <w:tcW w:w="709" w:type="dxa"/>
            <w:tcBorders>
              <w:top w:val="single" w:color="auto" w:sz="4" w:space="0"/>
              <w:left w:val="single" w:color="auto" w:sz="4" w:space="0"/>
              <w:bottom w:val="single" w:color="auto" w:sz="4" w:space="0"/>
              <w:right w:val="single" w:color="auto" w:sz="4" w:space="0"/>
            </w:tcBorders>
            <w:vAlign w:val="center"/>
          </w:tcPr>
          <w:p w14:paraId="1AE3464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规格</w:t>
            </w:r>
          </w:p>
          <w:p w14:paraId="32EA87D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条目号</w:t>
            </w:r>
          </w:p>
        </w:tc>
        <w:tc>
          <w:tcPr>
            <w:tcW w:w="5386" w:type="dxa"/>
            <w:tcBorders>
              <w:top w:val="single" w:color="auto" w:sz="4" w:space="0"/>
              <w:left w:val="single" w:color="auto" w:sz="4" w:space="0"/>
              <w:bottom w:val="single" w:color="auto" w:sz="4" w:space="0"/>
              <w:right w:val="single" w:color="auto" w:sz="4" w:space="0"/>
            </w:tcBorders>
            <w:vAlign w:val="center"/>
          </w:tcPr>
          <w:p w14:paraId="468DA3F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招标文件要求</w:t>
            </w:r>
          </w:p>
        </w:tc>
        <w:tc>
          <w:tcPr>
            <w:tcW w:w="779" w:type="dxa"/>
            <w:tcBorders>
              <w:top w:val="single" w:color="auto" w:sz="4" w:space="0"/>
              <w:left w:val="single" w:color="auto" w:sz="4" w:space="0"/>
              <w:bottom w:val="single" w:color="auto" w:sz="4" w:space="0"/>
              <w:right w:val="single" w:color="auto" w:sz="4" w:space="0"/>
            </w:tcBorders>
            <w:vAlign w:val="center"/>
          </w:tcPr>
          <w:p w14:paraId="24C353D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投标响应情况</w:t>
            </w:r>
          </w:p>
        </w:tc>
        <w:tc>
          <w:tcPr>
            <w:tcW w:w="935" w:type="dxa"/>
            <w:tcBorders>
              <w:top w:val="single" w:color="auto" w:sz="4" w:space="0"/>
              <w:left w:val="single" w:color="auto" w:sz="4" w:space="0"/>
              <w:bottom w:val="single" w:color="auto" w:sz="4" w:space="0"/>
              <w:right w:val="single" w:color="auto" w:sz="4" w:space="0"/>
            </w:tcBorders>
            <w:vAlign w:val="center"/>
          </w:tcPr>
          <w:p w14:paraId="5EEC872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投标响应对应的页码</w:t>
            </w:r>
          </w:p>
        </w:tc>
        <w:tc>
          <w:tcPr>
            <w:tcW w:w="775" w:type="dxa"/>
            <w:tcBorders>
              <w:top w:val="single" w:color="auto" w:sz="4" w:space="0"/>
              <w:left w:val="single" w:color="auto" w:sz="4" w:space="0"/>
              <w:bottom w:val="single" w:color="auto" w:sz="4" w:space="0"/>
              <w:right w:val="single" w:color="auto" w:sz="4" w:space="0"/>
            </w:tcBorders>
            <w:vAlign w:val="center"/>
          </w:tcPr>
          <w:p w14:paraId="35E9908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偏离说明</w:t>
            </w:r>
          </w:p>
        </w:tc>
      </w:tr>
      <w:tr w14:paraId="2A76E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restart"/>
            <w:tcBorders>
              <w:top w:val="single" w:color="auto" w:sz="4" w:space="0"/>
              <w:left w:val="single" w:color="auto" w:sz="4" w:space="0"/>
              <w:right w:val="single" w:color="auto" w:sz="4" w:space="0"/>
            </w:tcBorders>
            <w:vAlign w:val="center"/>
          </w:tcPr>
          <w:p w14:paraId="67654A3C">
            <w:pPr>
              <w:keepNext w:val="0"/>
              <w:keepLines w:val="0"/>
              <w:suppressLineNumbers w:val="0"/>
              <w:spacing w:before="0" w:beforeAutospacing="0" w:after="0" w:afterAutospacing="0" w:line="360" w:lineRule="auto"/>
              <w:ind w:left="0" w:right="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XM2026-DZ0031</w:t>
            </w:r>
          </w:p>
        </w:tc>
        <w:tc>
          <w:tcPr>
            <w:tcW w:w="707" w:type="dxa"/>
            <w:vMerge w:val="restart"/>
            <w:tcBorders>
              <w:top w:val="single" w:color="auto" w:sz="4" w:space="0"/>
              <w:left w:val="single" w:color="auto" w:sz="4" w:space="0"/>
              <w:right w:val="single" w:color="auto" w:sz="4" w:space="0"/>
            </w:tcBorders>
            <w:vAlign w:val="center"/>
          </w:tcPr>
          <w:p w14:paraId="3A1DC333">
            <w:pPr>
              <w:keepNext w:val="0"/>
              <w:keepLines w:val="0"/>
              <w:suppressLineNumbers w:val="0"/>
              <w:spacing w:before="0" w:beforeAutospacing="0" w:after="0" w:afterAutospacing="0" w:line="360" w:lineRule="auto"/>
              <w:ind w:left="0" w:right="0"/>
              <w:rPr>
                <w:rFonts w:hint="default" w:ascii="宋体" w:hAnsi="宋体" w:eastAsia="宋体" w:cs="宋体"/>
                <w:color w:val="auto"/>
                <w:sz w:val="21"/>
                <w:szCs w:val="21"/>
                <w:highlight w:val="none"/>
                <w:lang w:val="en-US" w:eastAsia="zh-CN"/>
              </w:rPr>
            </w:pPr>
            <w:r>
              <w:rPr>
                <w:rFonts w:hint="eastAsia" w:ascii="宋体" w:hAnsi="宋体" w:cs="宋体"/>
                <w:b/>
                <w:color w:val="auto"/>
                <w:sz w:val="21"/>
                <w:szCs w:val="21"/>
                <w:highlight w:val="none"/>
                <w:u w:val="single"/>
                <w:lang w:val="en-US" w:eastAsia="zh-CN"/>
              </w:rPr>
              <w:t>其他家具（集美中学侨英校区女生宿舍家具更换</w:t>
            </w:r>
            <w:r>
              <w:rPr>
                <w:rFonts w:hint="default" w:ascii="宋体" w:hAnsi="宋体" w:cs="宋体"/>
                <w:b/>
                <w:color w:val="auto"/>
                <w:sz w:val="21"/>
                <w:szCs w:val="21"/>
                <w:highlight w:val="none"/>
                <w:u w:val="single"/>
                <w:lang w:eastAsia="zh-CN"/>
              </w:rPr>
              <w:t>采购</w:t>
            </w:r>
            <w:r>
              <w:rPr>
                <w:rFonts w:hint="eastAsia" w:ascii="宋体" w:hAnsi="宋体" w:cs="宋体"/>
                <w:b/>
                <w:color w:val="auto"/>
                <w:sz w:val="21"/>
                <w:szCs w:val="21"/>
                <w:highlight w:val="none"/>
                <w:u w:val="single"/>
                <w:lang w:val="en-US" w:eastAsia="zh-CN"/>
              </w:rPr>
              <w:t>）</w:t>
            </w:r>
          </w:p>
        </w:tc>
        <w:tc>
          <w:tcPr>
            <w:tcW w:w="709" w:type="dxa"/>
            <w:tcBorders>
              <w:top w:val="single" w:color="auto" w:sz="4" w:space="0"/>
              <w:left w:val="single" w:color="auto" w:sz="4" w:space="0"/>
              <w:right w:val="single" w:color="auto" w:sz="4" w:space="0"/>
            </w:tcBorders>
            <w:vAlign w:val="center"/>
          </w:tcPr>
          <w:p w14:paraId="788B35C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4B7044DF">
            <w:pPr>
              <w:keepNext w:val="0"/>
              <w:keepLines w:val="0"/>
              <w:suppressLineNumbers w:val="0"/>
              <w:spacing w:before="0" w:beforeAutospacing="0" w:after="0" w:afterAutospacing="0" w:line="360" w:lineRule="auto"/>
              <w:ind w:left="0" w:right="28"/>
              <w:jc w:val="left"/>
              <w:rPr>
                <w:rFonts w:hint="default" w:ascii="宋体" w:hAnsi="宋体" w:cs="Courier New"/>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cs="Courier New"/>
                <w:b/>
                <w:color w:val="auto"/>
                <w:sz w:val="24"/>
                <w:szCs w:val="24"/>
                <w:highlight w:val="none"/>
              </w:rPr>
              <w:t>一、采购项目一览表</w:t>
            </w:r>
          </w:p>
          <w:p w14:paraId="20023ECC">
            <w:pPr>
              <w:keepNext w:val="0"/>
              <w:keepLines w:val="0"/>
              <w:suppressLineNumbers w:val="0"/>
              <w:tabs>
                <w:tab w:val="left" w:pos="5130"/>
              </w:tabs>
              <w:spacing w:before="0" w:beforeAutospacing="0" w:after="0" w:afterAutospacing="0" w:line="360" w:lineRule="auto"/>
              <w:ind w:left="0" w:right="0" w:firstLine="482" w:firstLineChars="200"/>
              <w:rPr>
                <w:rFonts w:hint="eastAsia" w:ascii="宋体" w:hAnsi="宋体" w:cs="Courier New"/>
                <w:b/>
                <w:color w:val="auto"/>
                <w:sz w:val="24"/>
                <w:szCs w:val="24"/>
                <w:highlight w:val="none"/>
              </w:rPr>
            </w:pPr>
            <w:r>
              <w:rPr>
                <w:rFonts w:hint="eastAsia" w:ascii="宋体" w:hAnsi="宋体" w:cs="Courier New"/>
                <w:b/>
                <w:color w:val="auto"/>
                <w:sz w:val="24"/>
                <w:szCs w:val="24"/>
                <w:highlight w:val="none"/>
                <w:lang w:val="en-US" w:eastAsia="zh-CN"/>
              </w:rPr>
              <w:t>1、</w:t>
            </w:r>
            <w:r>
              <w:rPr>
                <w:rFonts w:hint="eastAsia" w:ascii="宋体" w:hAnsi="宋体" w:cs="Courier New"/>
                <w:b/>
                <w:color w:val="auto"/>
                <w:sz w:val="24"/>
                <w:szCs w:val="24"/>
                <w:highlight w:val="none"/>
              </w:rPr>
              <w:t>详见附件1：《采购清单》</w:t>
            </w:r>
            <w:r>
              <w:rPr>
                <w:rFonts w:hint="eastAsia" w:ascii="宋体" w:hAnsi="宋体" w:cs="Courier New"/>
                <w:b/>
                <w:color w:val="auto"/>
                <w:sz w:val="24"/>
                <w:szCs w:val="24"/>
                <w:highlight w:val="none"/>
                <w:lang w:eastAsia="zh-CN"/>
              </w:rPr>
              <w:t>、</w:t>
            </w:r>
            <w:r>
              <w:rPr>
                <w:rFonts w:hint="eastAsia" w:ascii="宋体" w:hAnsi="宋体" w:cs="Courier New"/>
                <w:b/>
                <w:color w:val="auto"/>
                <w:sz w:val="24"/>
                <w:szCs w:val="24"/>
                <w:highlight w:val="none"/>
              </w:rPr>
              <w:t>《</w:t>
            </w:r>
            <w:r>
              <w:rPr>
                <w:rFonts w:hint="eastAsia" w:ascii="宋体" w:hAnsi="宋体" w:cs="Courier New"/>
                <w:b/>
                <w:color w:val="auto"/>
                <w:sz w:val="24"/>
                <w:szCs w:val="24"/>
                <w:highlight w:val="none"/>
                <w:lang w:val="en-US" w:eastAsia="zh-CN"/>
              </w:rPr>
              <w:t>样品</w:t>
            </w:r>
            <w:r>
              <w:rPr>
                <w:rFonts w:hint="eastAsia" w:ascii="宋体" w:hAnsi="宋体" w:cs="Courier New"/>
                <w:b/>
                <w:color w:val="auto"/>
                <w:sz w:val="24"/>
                <w:szCs w:val="24"/>
                <w:highlight w:val="none"/>
              </w:rPr>
              <w:t>清单》。</w:t>
            </w:r>
          </w:p>
          <w:p w14:paraId="5E6A68A9">
            <w:pPr>
              <w:keepNext w:val="0"/>
              <w:keepLines w:val="0"/>
              <w:suppressLineNumbers w:val="0"/>
              <w:tabs>
                <w:tab w:val="left" w:pos="5130"/>
              </w:tabs>
              <w:spacing w:before="0" w:beforeAutospacing="0" w:after="0" w:afterAutospacing="0" w:line="360" w:lineRule="auto"/>
              <w:ind w:left="0" w:right="0"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采购清单</w:t>
            </w:r>
            <w:r>
              <w:rPr>
                <w:rFonts w:hint="default" w:ascii="宋体" w:hAnsi="宋体"/>
                <w:color w:val="auto"/>
                <w:sz w:val="24"/>
                <w:szCs w:val="24"/>
                <w:highlight w:val="none"/>
              </w:rPr>
              <w:t>、技术评分</w:t>
            </w:r>
            <w:r>
              <w:rPr>
                <w:rFonts w:hint="eastAsia" w:ascii="宋体" w:hAnsi="宋体"/>
                <w:color w:val="auto"/>
                <w:sz w:val="24"/>
                <w:szCs w:val="24"/>
                <w:highlight w:val="none"/>
              </w:rPr>
              <w:t>中所描述产品的规格尺寸，没有幅度要求的，允许正负偏离1%以内。</w:t>
            </w:r>
          </w:p>
          <w:p w14:paraId="672E2533">
            <w:pPr>
              <w:pStyle w:val="9"/>
              <w:keepNext w:val="0"/>
              <w:keepLines w:val="0"/>
              <w:suppressLineNumbers w:val="0"/>
              <w:shd w:val="clear" w:color="auto" w:fill="FFFFFF"/>
              <w:spacing w:before="0" w:beforeAutospacing="0" w:after="0" w:afterAutospacing="0" w:line="360" w:lineRule="auto"/>
              <w:ind w:left="0" w:right="0" w:firstLine="422" w:firstLineChars="200"/>
              <w:rPr>
                <w:rFonts w:hint="eastAsia" w:ascii="宋体" w:hAnsi="宋体" w:cs="宋体"/>
                <w:b/>
                <w:bCs/>
                <w:color w:val="auto"/>
                <w:sz w:val="24"/>
                <w:szCs w:val="24"/>
                <w:highlight w:val="none"/>
                <w:lang w:val="en-US" w:eastAsia="zh-CN"/>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lang w:eastAsia="zh-CN"/>
              </w:rPr>
              <w:t>、</w:t>
            </w:r>
            <w:r>
              <w:rPr>
                <w:rFonts w:hint="eastAsia" w:ascii="宋体" w:hAnsi="宋体" w:cs="宋体"/>
                <w:b/>
                <w:bCs/>
                <w:color w:val="auto"/>
                <w:sz w:val="24"/>
                <w:szCs w:val="24"/>
                <w:highlight w:val="none"/>
                <w:lang w:val="en-US" w:eastAsia="zh-CN"/>
              </w:rPr>
              <w:t xml:space="preserve"> 采购单位或使用单位有权对投标人所提供检测报告的真实性进行核验。一经查实，投标人承诺送检的相关检测报告在国家市场监督管理总局（全国认证认可信息公共服务平台）（http://cx.cnca.cn）无法查询或查询结果与投标情况不符的，将认定其虚假应标，给采购单位造成损失的须依法承担赔偿责任（若遇系统检修，待检测报告查询功能恢复后，采购单位或使用单位有权对投标人所提供检测报告的真实性进行核验）。                                                       </w:t>
            </w:r>
          </w:p>
          <w:p w14:paraId="72816119">
            <w:pPr>
              <w:keepNext w:val="0"/>
              <w:keepLines w:val="0"/>
              <w:suppressLineNumbers w:val="0"/>
              <w:tabs>
                <w:tab w:val="left" w:pos="5130"/>
              </w:tabs>
              <w:spacing w:before="0" w:beforeAutospacing="0" w:after="0" w:afterAutospacing="0" w:line="360" w:lineRule="auto"/>
              <w:ind w:left="0" w:right="0" w:firstLine="482" w:firstLineChars="200"/>
              <w:rPr>
                <w:rFonts w:hint="eastAsia" w:ascii="宋体" w:hAnsi="宋体" w:cs="宋体"/>
                <w:color w:val="auto"/>
                <w:sz w:val="21"/>
                <w:szCs w:val="21"/>
                <w:highlight w:val="none"/>
              </w:rPr>
            </w:pPr>
            <w:r>
              <w:rPr>
                <w:rFonts w:hint="eastAsia" w:ascii="宋体" w:hAnsi="宋体" w:cs="宋体"/>
                <w:b/>
                <w:bCs/>
                <w:color w:val="auto"/>
                <w:sz w:val="24"/>
                <w:szCs w:val="24"/>
                <w:highlight w:val="none"/>
                <w:lang w:val="en-US" w:eastAsia="zh-CN"/>
              </w:rPr>
              <w:t>4</w:t>
            </w:r>
            <w:r>
              <w:rPr>
                <w:rFonts w:hint="eastAsia" w:ascii="宋体" w:hAnsi="宋体" w:cs="宋体"/>
                <w:b/>
                <w:bCs/>
                <w:color w:val="auto"/>
                <w:sz w:val="24"/>
                <w:szCs w:val="24"/>
                <w:highlight w:val="none"/>
              </w:rPr>
              <w:t>、采购文件中涉及到的产品，</w:t>
            </w:r>
            <w:r>
              <w:rPr>
                <w:rFonts w:hint="eastAsia" w:ascii="宋体" w:hAnsi="宋体" w:cs="宋体"/>
                <w:b/>
                <w:bCs/>
                <w:color w:val="auto"/>
                <w:sz w:val="24"/>
                <w:szCs w:val="24"/>
                <w:highlight w:val="none"/>
                <w:lang w:val="en-US" w:eastAsia="zh-CN"/>
              </w:rPr>
              <w:t>中标</w:t>
            </w:r>
            <w:r>
              <w:rPr>
                <w:rFonts w:hint="eastAsia" w:ascii="宋体" w:hAnsi="宋体" w:cs="宋体"/>
                <w:b/>
                <w:bCs/>
                <w:color w:val="auto"/>
                <w:sz w:val="24"/>
                <w:szCs w:val="24"/>
                <w:highlight w:val="none"/>
              </w:rPr>
              <w:t>后，</w:t>
            </w:r>
            <w:r>
              <w:rPr>
                <w:rFonts w:hint="eastAsia" w:ascii="宋体" w:hAnsi="宋体" w:cs="宋体"/>
                <w:b/>
                <w:bCs/>
                <w:color w:val="auto"/>
                <w:sz w:val="24"/>
                <w:szCs w:val="24"/>
                <w:highlight w:val="none"/>
                <w:lang w:val="en-US" w:eastAsia="zh-CN"/>
              </w:rPr>
              <w:t>中标</w:t>
            </w:r>
            <w:r>
              <w:rPr>
                <w:rFonts w:hint="eastAsia" w:ascii="宋体" w:hAnsi="宋体" w:cs="宋体"/>
                <w:b/>
                <w:bCs/>
                <w:color w:val="auto"/>
                <w:sz w:val="24"/>
                <w:szCs w:val="24"/>
                <w:highlight w:val="none"/>
              </w:rPr>
              <w:t>供应商需按使用单位要求的颜色及采购文件中采购清单</w:t>
            </w:r>
            <w:r>
              <w:rPr>
                <w:rFonts w:hint="eastAsia" w:ascii="宋体" w:hAnsi="宋体" w:cs="宋体"/>
                <w:b/>
                <w:bCs/>
                <w:color w:val="auto"/>
                <w:sz w:val="24"/>
                <w:szCs w:val="24"/>
                <w:highlight w:val="none"/>
                <w:lang w:val="en-US" w:eastAsia="zh-CN"/>
              </w:rPr>
              <w:t>品目</w:t>
            </w:r>
            <w:r>
              <w:rPr>
                <w:rFonts w:hint="eastAsia" w:ascii="宋体" w:hAnsi="宋体" w:cs="宋体"/>
                <w:b/>
                <w:bCs/>
                <w:color w:val="auto"/>
                <w:sz w:val="24"/>
                <w:szCs w:val="24"/>
                <w:highlight w:val="none"/>
              </w:rPr>
              <w:t>序号</w:t>
            </w:r>
            <w:r>
              <w:rPr>
                <w:rFonts w:hint="eastAsia" w:ascii="宋体" w:hAnsi="宋体" w:cs="宋体"/>
                <w:b/>
                <w:bCs/>
                <w:color w:val="auto"/>
                <w:sz w:val="24"/>
                <w:szCs w:val="24"/>
                <w:highlight w:val="none"/>
                <w:lang w:val="en-US" w:eastAsia="zh-CN"/>
              </w:rPr>
              <w:t>1致序号7</w:t>
            </w:r>
            <w:r>
              <w:rPr>
                <w:rFonts w:hint="eastAsia" w:ascii="宋体" w:hAnsi="宋体" w:cs="宋体"/>
                <w:b/>
                <w:bCs/>
                <w:color w:val="auto"/>
                <w:sz w:val="24"/>
                <w:szCs w:val="24"/>
                <w:highlight w:val="none"/>
              </w:rPr>
              <w:t>的产品，要求在7个日历日内提供整套产品给使用单位确认。如</w:t>
            </w:r>
            <w:r>
              <w:rPr>
                <w:rFonts w:hint="eastAsia" w:ascii="宋体" w:hAnsi="宋体" w:cs="宋体"/>
                <w:b/>
                <w:bCs/>
                <w:color w:val="auto"/>
                <w:sz w:val="24"/>
                <w:szCs w:val="24"/>
                <w:highlight w:val="none"/>
                <w:lang w:val="en-US" w:eastAsia="zh-CN"/>
              </w:rPr>
              <w:t>中标</w:t>
            </w:r>
            <w:r>
              <w:rPr>
                <w:rFonts w:hint="eastAsia" w:ascii="宋体" w:hAnsi="宋体" w:cs="宋体"/>
                <w:b/>
                <w:bCs/>
                <w:color w:val="auto"/>
                <w:sz w:val="24"/>
                <w:szCs w:val="24"/>
                <w:highlight w:val="none"/>
              </w:rPr>
              <w:t>供应商无法提供整套产品，或者发现</w:t>
            </w:r>
            <w:r>
              <w:rPr>
                <w:rFonts w:hint="eastAsia" w:ascii="宋体" w:hAnsi="宋体" w:cs="宋体"/>
                <w:b/>
                <w:bCs/>
                <w:color w:val="auto"/>
                <w:sz w:val="24"/>
                <w:szCs w:val="24"/>
                <w:highlight w:val="none"/>
                <w:lang w:val="en-US" w:eastAsia="zh-CN"/>
              </w:rPr>
              <w:t>中标</w:t>
            </w:r>
            <w:r>
              <w:rPr>
                <w:rFonts w:hint="eastAsia" w:ascii="宋体" w:hAnsi="宋体" w:cs="宋体"/>
                <w:b/>
                <w:bCs/>
                <w:color w:val="auto"/>
                <w:sz w:val="24"/>
                <w:szCs w:val="24"/>
                <w:highlight w:val="none"/>
              </w:rPr>
              <w:t>供应商提供的产品与采购文件要求不一致，取消中标供应商资格并列入不良行为记录。（</w:t>
            </w:r>
            <w:r>
              <w:rPr>
                <w:rFonts w:hint="eastAsia" w:ascii="宋体" w:hAnsi="宋体" w:cs="宋体"/>
                <w:b/>
                <w:bCs/>
                <w:color w:val="auto"/>
                <w:sz w:val="24"/>
                <w:szCs w:val="24"/>
                <w:highlight w:val="none"/>
                <w:lang w:val="en-US" w:eastAsia="zh-CN"/>
              </w:rPr>
              <w:t>投标</w:t>
            </w:r>
            <w:r>
              <w:rPr>
                <w:rFonts w:hint="eastAsia" w:ascii="宋体" w:hAnsi="宋体" w:cs="宋体"/>
                <w:b/>
                <w:bCs/>
                <w:color w:val="auto"/>
                <w:sz w:val="24"/>
                <w:szCs w:val="24"/>
                <w:highlight w:val="none"/>
              </w:rPr>
              <w:t>人须在</w:t>
            </w:r>
            <w:r>
              <w:rPr>
                <w:rFonts w:hint="eastAsia" w:ascii="宋体" w:hAnsi="宋体" w:cs="宋体"/>
                <w:b/>
                <w:bCs/>
                <w:color w:val="auto"/>
                <w:sz w:val="24"/>
                <w:szCs w:val="24"/>
                <w:highlight w:val="none"/>
                <w:lang w:val="en-US" w:eastAsia="zh-CN"/>
              </w:rPr>
              <w:t>投标</w:t>
            </w:r>
            <w:r>
              <w:rPr>
                <w:rFonts w:hint="eastAsia" w:ascii="宋体" w:hAnsi="宋体" w:cs="宋体"/>
                <w:b/>
                <w:bCs/>
                <w:color w:val="auto"/>
                <w:sz w:val="24"/>
                <w:szCs w:val="24"/>
                <w:highlight w:val="none"/>
              </w:rPr>
              <w:t>文件中响应满足上述条款要求）。</w:t>
            </w:r>
          </w:p>
        </w:tc>
        <w:tc>
          <w:tcPr>
            <w:tcW w:w="779" w:type="dxa"/>
            <w:tcBorders>
              <w:top w:val="single" w:color="auto" w:sz="4" w:space="0"/>
              <w:left w:val="single" w:color="auto" w:sz="4" w:space="0"/>
              <w:bottom w:val="single" w:color="auto" w:sz="4" w:space="0"/>
              <w:right w:val="single" w:color="auto" w:sz="4" w:space="0"/>
            </w:tcBorders>
            <w:vAlign w:val="center"/>
          </w:tcPr>
          <w:p w14:paraId="38A5320D">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5CB00BF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799C2A1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419B3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45C63459">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0927BD2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6229127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35A65795">
            <w:pPr>
              <w:keepNext w:val="0"/>
              <w:keepLines w:val="0"/>
              <w:suppressLineNumbers w:val="0"/>
              <w:spacing w:before="0" w:beforeAutospacing="0" w:after="0" w:afterAutospacing="0" w:line="360" w:lineRule="auto"/>
              <w:ind w:left="0" w:right="28"/>
              <w:jc w:val="left"/>
              <w:rPr>
                <w:rFonts w:hint="default" w:ascii="宋体" w:hAnsi="宋体"/>
                <w:b/>
                <w:color w:val="auto"/>
                <w:sz w:val="24"/>
                <w:szCs w:val="24"/>
                <w:highlight w:val="none"/>
              </w:rPr>
            </w:pPr>
            <w:r>
              <w:rPr>
                <w:rFonts w:hint="eastAsia" w:ascii="宋体" w:hAnsi="宋体"/>
                <w:color w:val="auto"/>
                <w:sz w:val="24"/>
                <w:szCs w:val="24"/>
                <w:highlight w:val="none"/>
                <w:lang w:val="en-US" w:eastAsia="zh-CN"/>
              </w:rPr>
              <w:t xml:space="preserve"> </w:t>
            </w:r>
            <w:r>
              <w:rPr>
                <w:rFonts w:hint="default" w:ascii="宋体" w:hAnsi="宋体"/>
                <w:b/>
                <w:color w:val="auto"/>
                <w:sz w:val="24"/>
                <w:szCs w:val="24"/>
                <w:highlight w:val="none"/>
              </w:rPr>
              <w:t>二、</w:t>
            </w:r>
            <w:r>
              <w:rPr>
                <w:rFonts w:hint="eastAsia" w:ascii="宋体" w:hAnsi="宋体"/>
                <w:b/>
                <w:color w:val="auto"/>
                <w:sz w:val="24"/>
                <w:szCs w:val="24"/>
                <w:highlight w:val="none"/>
              </w:rPr>
              <w:t>采购要求</w:t>
            </w:r>
          </w:p>
          <w:p w14:paraId="3B8F84F2">
            <w:pPr>
              <w:keepNext w:val="0"/>
              <w:keepLines w:val="0"/>
              <w:suppressLineNumbers w:val="0"/>
              <w:spacing w:before="0" w:beforeAutospacing="0" w:after="0" w:afterAutospacing="0" w:line="360" w:lineRule="auto"/>
              <w:ind w:left="0" w:right="0" w:firstLine="480" w:firstLineChars="200"/>
              <w:rPr>
                <w:rFonts w:hint="default" w:ascii="宋体" w:hAnsi="宋体"/>
                <w:bCs/>
                <w:color w:val="auto"/>
                <w:sz w:val="24"/>
                <w:szCs w:val="24"/>
                <w:highlight w:val="none"/>
              </w:rPr>
            </w:pPr>
            <w:r>
              <w:rPr>
                <w:rFonts w:hint="eastAsia" w:ascii="宋体" w:hAnsi="宋体"/>
                <w:bCs/>
                <w:color w:val="auto"/>
                <w:sz w:val="24"/>
                <w:szCs w:val="24"/>
                <w:highlight w:val="none"/>
              </w:rPr>
              <w:t>1．中标供应商生产前提供具体图纸供使用单位确认方可生产，价格不得调整。</w:t>
            </w:r>
          </w:p>
          <w:p w14:paraId="235F06E1">
            <w:pPr>
              <w:keepNext w:val="0"/>
              <w:keepLines w:val="0"/>
              <w:suppressLineNumbers w:val="0"/>
              <w:spacing w:before="0" w:beforeAutospacing="0" w:after="0" w:afterAutospacing="0" w:line="360" w:lineRule="auto"/>
              <w:ind w:left="0" w:right="0" w:firstLine="480" w:firstLineChars="200"/>
              <w:rPr>
                <w:rFonts w:hint="default" w:ascii="宋体" w:hAnsi="宋体"/>
                <w:bCs/>
                <w:color w:val="auto"/>
                <w:sz w:val="24"/>
                <w:szCs w:val="24"/>
                <w:highlight w:val="none"/>
              </w:rPr>
            </w:pPr>
            <w:r>
              <w:rPr>
                <w:rFonts w:hint="eastAsia" w:ascii="宋体" w:hAnsi="宋体"/>
                <w:bCs/>
                <w:color w:val="auto"/>
                <w:sz w:val="24"/>
                <w:szCs w:val="24"/>
                <w:highlight w:val="none"/>
              </w:rPr>
              <w:t>2．投标人应严格按照招标文件的规格、数量、技术及材质等要求进行报价。</w:t>
            </w:r>
          </w:p>
          <w:p w14:paraId="397A2C22">
            <w:pPr>
              <w:keepNext w:val="0"/>
              <w:keepLines w:val="0"/>
              <w:suppressLineNumbers w:val="0"/>
              <w:spacing w:before="0" w:beforeAutospacing="0" w:after="0" w:afterAutospacing="0" w:line="360" w:lineRule="auto"/>
              <w:ind w:left="0" w:right="0" w:firstLine="480" w:firstLineChars="200"/>
              <w:rPr>
                <w:rFonts w:hint="default" w:ascii="宋体" w:hAnsi="宋体"/>
                <w:bCs/>
                <w:color w:val="auto"/>
                <w:sz w:val="24"/>
                <w:szCs w:val="24"/>
                <w:highlight w:val="none"/>
              </w:rPr>
            </w:pPr>
            <w:r>
              <w:rPr>
                <w:rFonts w:hint="eastAsia" w:ascii="宋体" w:hAnsi="宋体"/>
                <w:bCs/>
                <w:color w:val="auto"/>
                <w:sz w:val="24"/>
                <w:szCs w:val="24"/>
                <w:highlight w:val="none"/>
              </w:rPr>
              <w:t>3．投标人应在投标文件中提供主要生产设备清单（需提供主要生产加工设备、产地、数量、价值）。</w:t>
            </w:r>
          </w:p>
          <w:p w14:paraId="0A661C2F">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4．投标人应在投标文件中提供质量管理、技术力量说明（主要生产技术骨干、质管人员的数量和职称）。</w:t>
            </w:r>
          </w:p>
          <w:p w14:paraId="2BE109A4">
            <w:pPr>
              <w:pStyle w:val="9"/>
              <w:keepNext w:val="0"/>
              <w:keepLines w:val="0"/>
              <w:suppressLineNumbers w:val="0"/>
              <w:spacing w:before="0" w:beforeAutospacing="0" w:after="0" w:afterAutospacing="0" w:line="360" w:lineRule="auto"/>
              <w:ind w:left="0" w:right="0" w:firstLine="480" w:firstLineChars="200"/>
              <w:rPr>
                <w:rFonts w:hint="default" w:cs="Times New Roman"/>
                <w:color w:val="auto"/>
                <w:kern w:val="2"/>
                <w:highlight w:val="none"/>
              </w:rPr>
            </w:pPr>
            <w:r>
              <w:rPr>
                <w:rFonts w:hint="eastAsia" w:cs="Times New Roman"/>
                <w:color w:val="auto"/>
                <w:kern w:val="2"/>
                <w:highlight w:val="none"/>
              </w:rPr>
              <w:t>5．投标人应根据国家标准(GB/T3324-2008木家具通用技术条件、GB/T3325-2008金属家具通用技术条件、GB 18584-2008木家具中有害物质限量、GB18583—2008 胶粘剂（溶剂型）中有害物质限量、GB18580—2001 人造板及其制品中甲醛释放限量、GB18581—2009 溶剂型木器涂料中有害物质限量、GB18582—2008 内墙涂料中有害物质限量、GB5296.6—2008 消费品使用说明（第6 部分家具）)、部颁标准(QB/T1951.1-2010 木家具、QB/T1951.2-2013 金属家具、QB/T1952.1-2012 软体家具沙发、QB/T2530-2011 木制柜）、人造木质板材执行标准：HBC17－2003、家具执行标准：HJ/T3030-2006、水性涂料执行标准：HJ/T 201─2005、胶粘剂执行标准：HJ/T 220-2005、其他国家及行业标准制作（上述标准若有更新，则以更新后的国家和部门标准执行），并在设计方案中详细说明家具的材料构成及辅材、配件(如材质、质量标准、厚度、产地、品牌、型号等)。</w:t>
            </w:r>
          </w:p>
          <w:p w14:paraId="648FFF20">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6．投标人需在投标文件中提供上述货物的实物图、效果图、生产分解图、货物选用材料的说明文件。</w:t>
            </w:r>
          </w:p>
          <w:p w14:paraId="6EA22D20">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7．投标人需将以上货物的参考指标与所投货物的技术指标、参数，在投标文件中分别列出，一一对应。</w:t>
            </w:r>
          </w:p>
          <w:p w14:paraId="58A21705">
            <w:pPr>
              <w:keepNext w:val="0"/>
              <w:keepLines w:val="0"/>
              <w:widowControl/>
              <w:numPr>
                <w:ilvl w:val="0"/>
                <w:numId w:val="0"/>
              </w:numPr>
              <w:suppressLineNumbers w:val="0"/>
              <w:spacing w:before="0" w:beforeAutospacing="0" w:after="0" w:afterAutospacing="0" w:line="360" w:lineRule="auto"/>
              <w:ind w:left="0" w:right="0" w:firstLine="470" w:firstLineChars="0"/>
              <w:jc w:val="left"/>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lang w:val="en-US" w:eastAsia="zh-CN" w:bidi="ar-SA"/>
              </w:rPr>
              <w:t>8</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rPr>
              <w:t>招标文件中涉及提供检测报告复印件的，中标后，</w:t>
            </w:r>
            <w:r>
              <w:rPr>
                <w:rFonts w:hint="eastAsia" w:ascii="宋体" w:hAnsi="宋体" w:cs="宋体"/>
                <w:bCs/>
                <w:color w:val="auto"/>
                <w:kern w:val="0"/>
                <w:sz w:val="24"/>
                <w:szCs w:val="24"/>
                <w:highlight w:val="none"/>
                <w:lang w:val="en-US" w:eastAsia="zh-CN"/>
              </w:rPr>
              <w:t>若出现质疑投诉，</w:t>
            </w:r>
            <w:r>
              <w:rPr>
                <w:rFonts w:hint="eastAsia" w:ascii="宋体" w:hAnsi="宋体" w:cs="宋体"/>
                <w:bCs/>
                <w:color w:val="auto"/>
                <w:kern w:val="0"/>
                <w:sz w:val="24"/>
                <w:szCs w:val="24"/>
                <w:highlight w:val="none"/>
              </w:rPr>
              <w:t>使用单位</w:t>
            </w:r>
            <w:r>
              <w:rPr>
                <w:rFonts w:hint="eastAsia" w:ascii="宋体" w:hAnsi="宋体" w:cs="宋体"/>
                <w:bCs/>
                <w:color w:val="auto"/>
                <w:kern w:val="0"/>
                <w:sz w:val="24"/>
                <w:szCs w:val="24"/>
                <w:highlight w:val="none"/>
                <w:lang w:val="en-US" w:eastAsia="zh-CN"/>
              </w:rPr>
              <w:t>或采购单位</w:t>
            </w:r>
            <w:r>
              <w:rPr>
                <w:rFonts w:hint="eastAsia" w:ascii="宋体" w:hAnsi="宋体" w:cs="宋体"/>
                <w:bCs/>
                <w:color w:val="auto"/>
                <w:kern w:val="0"/>
                <w:sz w:val="24"/>
                <w:szCs w:val="24"/>
                <w:highlight w:val="none"/>
              </w:rPr>
              <w:t>将要求中标供应商提供检测报告原件予以核对，中标供应商应在2日内提供检测报告原件。如中标供应商无法提供检测报告原件，或者发现中标供应商提供的检测报告原件与复印件不一致，或者经查询发现检测报告存在造假情形的，采购单位将向采购监管部门提请监督检查，取消中标供应商资格并列入不良行为记录。（投标人须在投标文件中响应满足上述条款要求）。</w:t>
            </w:r>
          </w:p>
          <w:p w14:paraId="026920B5">
            <w:pPr>
              <w:keepNext w:val="0"/>
              <w:keepLines w:val="0"/>
              <w:widowControl w:val="0"/>
              <w:suppressLineNumbers w:val="0"/>
              <w:tabs>
                <w:tab w:val="left" w:pos="630"/>
              </w:tabs>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rPr>
            </w:pPr>
            <w:r>
              <w:rPr>
                <w:rFonts w:hint="eastAsia" w:ascii="宋体" w:hAnsi="宋体" w:cs="宋体"/>
                <w:bCs/>
                <w:color w:val="auto"/>
                <w:kern w:val="0"/>
                <w:sz w:val="24"/>
                <w:szCs w:val="24"/>
                <w:highlight w:val="none"/>
                <w:lang w:val="en-US" w:eastAsia="zh-CN" w:bidi="ar-SA"/>
              </w:rPr>
              <w:t>9</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bidi="ar"/>
              </w:rPr>
              <w:t>由于市行政服务中心地下停车库不让限高&gt;2米车辆进入，因此送样品的车辆限高≦2米。不遵守此规定，后果自负。</w:t>
            </w:r>
          </w:p>
          <w:p w14:paraId="08683CB1">
            <w:pPr>
              <w:keepNext w:val="0"/>
              <w:keepLines w:val="0"/>
              <w:widowControl w:val="0"/>
              <w:suppressLineNumbers w:val="0"/>
              <w:tabs>
                <w:tab w:val="left" w:pos="630"/>
              </w:tabs>
              <w:spacing w:before="0" w:beforeAutospacing="0" w:after="0" w:afterAutospacing="0" w:line="360" w:lineRule="auto"/>
              <w:ind w:left="0" w:right="0" w:firstLine="480" w:firstLineChars="200"/>
              <w:jc w:val="both"/>
              <w:rPr>
                <w:rFonts w:hint="eastAsia" w:ascii="宋体" w:hAnsi="宋体" w:eastAsia="宋体" w:cs="宋体"/>
                <w:color w:val="auto"/>
                <w:sz w:val="21"/>
                <w:szCs w:val="21"/>
                <w:highlight w:val="none"/>
                <w:lang w:eastAsia="zh-CN"/>
              </w:rPr>
            </w:pPr>
            <w:r>
              <w:rPr>
                <w:rFonts w:hint="eastAsia" w:ascii="宋体" w:hAnsi="宋体" w:cs="宋体"/>
                <w:bCs/>
                <w:color w:val="auto"/>
                <w:kern w:val="0"/>
                <w:sz w:val="24"/>
                <w:szCs w:val="24"/>
                <w:highlight w:val="none"/>
                <w:lang w:val="en-US" w:eastAsia="zh-CN" w:bidi="ar-SA"/>
              </w:rPr>
              <w:t>13</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bidi="ar"/>
              </w:rPr>
              <w:t>由于市行政服务中心地下停车库不让限高&gt;2米车辆进入，因此送样品的车辆限高≦2米。不遵守此规定，后果自负。</w:t>
            </w:r>
          </w:p>
        </w:tc>
        <w:tc>
          <w:tcPr>
            <w:tcW w:w="779" w:type="dxa"/>
            <w:tcBorders>
              <w:top w:val="single" w:color="auto" w:sz="4" w:space="0"/>
              <w:left w:val="single" w:color="auto" w:sz="4" w:space="0"/>
              <w:bottom w:val="single" w:color="auto" w:sz="4" w:space="0"/>
              <w:right w:val="single" w:color="auto" w:sz="4" w:space="0"/>
            </w:tcBorders>
            <w:vAlign w:val="center"/>
          </w:tcPr>
          <w:p w14:paraId="6AB0FF1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056DD34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3AB215B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7E907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7B3F209C">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25C55D91">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4280B7DE">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1612D525">
            <w:pPr>
              <w:pStyle w:val="9"/>
              <w:keepNext w:val="0"/>
              <w:keepLines w:val="0"/>
              <w:suppressLineNumbers w:val="0"/>
              <w:shd w:val="clear" w:color="auto" w:fill="FFFFFF"/>
              <w:spacing w:before="0" w:beforeAutospacing="0" w:after="0" w:afterAutospacing="0" w:line="360" w:lineRule="auto"/>
              <w:ind w:left="0" w:right="0"/>
              <w:rPr>
                <w:rFonts w:hint="default"/>
                <w:b/>
                <w:color w:val="auto"/>
                <w:highlight w:val="none"/>
              </w:rPr>
            </w:pPr>
            <w:r>
              <w:rPr>
                <w:rFonts w:hint="eastAsia"/>
                <w:b/>
                <w:color w:val="auto"/>
                <w:highlight w:val="none"/>
              </w:rPr>
              <w:t>四、商务响应要求</w:t>
            </w:r>
          </w:p>
          <w:p w14:paraId="0CAD4147">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1.投标人应在投标文件中提供最近三年来在中国，类似项目的合同业绩证明材料（提供项目中标公告或中标通知书及合同复印件，加盖单位公章，原件备查），需提供项目名称、合同金额、中标日期、联系人、用户反馈意见。</w:t>
            </w:r>
          </w:p>
          <w:p w14:paraId="412940ED">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2.投标人应在投标文件中书面承诺自身已经具备自行生产所投价的全系列产品的能力。</w:t>
            </w:r>
          </w:p>
          <w:p w14:paraId="1B8A16C0">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rPr>
              <w:t>3.投标人应在投标文件中提供会计师事务所出具的上年审计报告和最近一期的会计报表及银行出具的资信证明文件；如属新企业需出具当年验资报告。</w:t>
            </w:r>
          </w:p>
        </w:tc>
        <w:tc>
          <w:tcPr>
            <w:tcW w:w="779" w:type="dxa"/>
            <w:tcBorders>
              <w:top w:val="single" w:color="auto" w:sz="4" w:space="0"/>
              <w:left w:val="single" w:color="auto" w:sz="4" w:space="0"/>
              <w:bottom w:val="single" w:color="auto" w:sz="4" w:space="0"/>
              <w:right w:val="single" w:color="auto" w:sz="4" w:space="0"/>
            </w:tcBorders>
            <w:vAlign w:val="center"/>
          </w:tcPr>
          <w:p w14:paraId="04E3EE85">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5E9F76F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370FF365">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6036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3BCF7F80">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7F077DF1">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643534FE">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414241AD">
            <w:pPr>
              <w:keepNext w:val="0"/>
              <w:keepLines w:val="0"/>
              <w:suppressLineNumbers w:val="0"/>
              <w:spacing w:before="0" w:beforeAutospacing="0" w:after="0" w:afterAutospacing="0" w:line="360" w:lineRule="auto"/>
              <w:ind w:left="-178" w:leftChars="-85" w:right="359" w:rightChars="171" w:firstLine="361" w:firstLineChars="150"/>
              <w:rPr>
                <w:rFonts w:hint="default" w:ascii="宋体" w:hAnsi="宋体"/>
                <w:b/>
                <w:color w:val="auto"/>
                <w:sz w:val="24"/>
                <w:szCs w:val="24"/>
                <w:highlight w:val="none"/>
              </w:rPr>
            </w:pPr>
            <w:r>
              <w:rPr>
                <w:rFonts w:hint="eastAsia" w:ascii="宋体" w:hAnsi="宋体"/>
                <w:b/>
                <w:color w:val="auto"/>
                <w:sz w:val="24"/>
                <w:szCs w:val="24"/>
                <w:highlight w:val="none"/>
              </w:rPr>
              <w:t>五、货物质量标准、验收标准</w:t>
            </w:r>
          </w:p>
          <w:p w14:paraId="5B7ED01A">
            <w:pPr>
              <w:pStyle w:val="4"/>
              <w:keepNext w:val="0"/>
              <w:keepLines w:val="0"/>
              <w:suppressLineNumbers w:val="0"/>
              <w:spacing w:before="0" w:beforeAutospacing="0" w:after="0" w:afterAutospacing="0" w:line="360" w:lineRule="auto"/>
              <w:ind w:left="0" w:leftChars="0" w:right="0" w:firstLine="480" w:firstLineChars="200"/>
              <w:rPr>
                <w:rFonts w:hint="default" w:ascii="宋体" w:hAnsi="宋体"/>
                <w:color w:val="auto"/>
                <w:sz w:val="24"/>
                <w:highlight w:val="none"/>
              </w:rPr>
            </w:pPr>
            <w:r>
              <w:rPr>
                <w:rFonts w:hint="eastAsia" w:ascii="宋体" w:hAnsi="宋体"/>
                <w:color w:val="auto"/>
                <w:sz w:val="24"/>
                <w:highlight w:val="none"/>
              </w:rPr>
              <w:t>1．投标人提供货物的制造标准、安装标准、验收标准及技术规范等有关资料应符合国家规定的有关标准、规范要求。</w:t>
            </w:r>
          </w:p>
          <w:p w14:paraId="5ED3F3E5">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14:paraId="6436031F">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14:paraId="49CCE9A0">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14:paraId="0819B9FF">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5.投标人必须在投标文件中书面承诺：中标后生产前，向使用单位确定所供货物的相关事项，经使用单位书面确认是否增减后方可投入生产。否则，由此产生的一切后果由中标供应商负责。</w:t>
            </w:r>
          </w:p>
          <w:p w14:paraId="3176486F">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6、货物初验：货物运抵采购单位指定地点后由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64EC0B37">
            <w:pPr>
              <w:pStyle w:val="5"/>
              <w:keepNext w:val="0"/>
              <w:keepLines w:val="0"/>
              <w:suppressLineNumbers w:val="0"/>
              <w:tabs>
                <w:tab w:val="left" w:pos="540"/>
              </w:tabs>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7.最终验收：中标供应商负责现场安装、调试，待性能指标经验收合格后（附验收报告），中标供应商应与采购单位共同签署《厦门市政府采购验收报告》。</w:t>
            </w:r>
          </w:p>
          <w:p w14:paraId="174D7C56">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8.投标人必须在投标文件中书面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14:paraId="7476E7EC">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9.投标人不得虚报各项技术指标，中标产品若不能符合技术要求、招标文件及合同约定的，采购单位有权退货并单方解除合同，中标供应商除退还所有的货款外，还应向支付合同总价50%的违约金。</w:t>
            </w:r>
          </w:p>
          <w:p w14:paraId="01B80FEB">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rPr>
              <w:t>10.投标人必须在投标文件中书面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tc>
        <w:tc>
          <w:tcPr>
            <w:tcW w:w="779" w:type="dxa"/>
            <w:tcBorders>
              <w:top w:val="single" w:color="auto" w:sz="4" w:space="0"/>
              <w:left w:val="single" w:color="auto" w:sz="4" w:space="0"/>
              <w:bottom w:val="single" w:color="auto" w:sz="4" w:space="0"/>
              <w:right w:val="single" w:color="auto" w:sz="4" w:space="0"/>
            </w:tcBorders>
            <w:vAlign w:val="center"/>
          </w:tcPr>
          <w:p w14:paraId="55939A2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3BB3972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11B28782">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14521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232128C5">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033E467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1E94508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1BD4C64D">
            <w:pPr>
              <w:keepNext w:val="0"/>
              <w:keepLines w:val="0"/>
              <w:suppressLineNumbers w:val="0"/>
              <w:spacing w:before="0" w:beforeAutospacing="0" w:after="0" w:afterAutospacing="0" w:line="360" w:lineRule="auto"/>
              <w:ind w:left="-178" w:leftChars="-85" w:right="359" w:rightChars="171" w:firstLine="361" w:firstLineChars="150"/>
              <w:jc w:val="left"/>
              <w:rPr>
                <w:rFonts w:hint="default" w:ascii="宋体" w:hAnsi="宋体"/>
                <w:b/>
                <w:color w:val="auto"/>
                <w:sz w:val="24"/>
                <w:szCs w:val="24"/>
                <w:highlight w:val="none"/>
              </w:rPr>
            </w:pPr>
            <w:r>
              <w:rPr>
                <w:rFonts w:hint="eastAsia" w:ascii="宋体" w:hAnsi="宋体"/>
                <w:b/>
                <w:color w:val="auto"/>
                <w:sz w:val="24"/>
                <w:szCs w:val="24"/>
                <w:highlight w:val="none"/>
              </w:rPr>
              <w:t>六、货物技术服务要求</w:t>
            </w:r>
          </w:p>
          <w:p w14:paraId="46B8477F">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14:paraId="6857988B">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1AF5ED2A">
            <w:pPr>
              <w:pStyle w:val="5"/>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hAnsi="宋体"/>
                <w:color w:val="auto"/>
                <w:sz w:val="24"/>
                <w:szCs w:val="24"/>
                <w:highlight w:val="none"/>
              </w:rPr>
              <w:t>4.投标人如有其它更好的售后服务应在方案中书面声明。</w:t>
            </w:r>
          </w:p>
        </w:tc>
        <w:tc>
          <w:tcPr>
            <w:tcW w:w="779" w:type="dxa"/>
            <w:tcBorders>
              <w:top w:val="single" w:color="auto" w:sz="4" w:space="0"/>
              <w:left w:val="single" w:color="auto" w:sz="4" w:space="0"/>
              <w:bottom w:val="single" w:color="auto" w:sz="4" w:space="0"/>
              <w:right w:val="single" w:color="auto" w:sz="4" w:space="0"/>
            </w:tcBorders>
            <w:vAlign w:val="center"/>
          </w:tcPr>
          <w:p w14:paraId="2294461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29810CE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3DF1E842">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600E0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1D15AA91">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3D9824C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123A9E6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506BF7C6">
            <w:pPr>
              <w:keepNext w:val="0"/>
              <w:keepLines w:val="0"/>
              <w:suppressLineNumbers w:val="0"/>
              <w:spacing w:before="0" w:beforeAutospacing="0" w:after="0" w:afterAutospacing="0" w:line="360" w:lineRule="auto"/>
              <w:ind w:left="0" w:right="359" w:rightChars="171"/>
              <w:rPr>
                <w:rFonts w:hint="default" w:ascii="宋体" w:hAnsi="宋体"/>
                <w:b/>
                <w:color w:val="auto"/>
                <w:sz w:val="24"/>
                <w:szCs w:val="24"/>
                <w:highlight w:val="none"/>
              </w:rPr>
            </w:pPr>
            <w:r>
              <w:rPr>
                <w:rFonts w:hint="eastAsia" w:ascii="宋体" w:hAnsi="宋体"/>
                <w:b/>
                <w:color w:val="auto"/>
                <w:sz w:val="24"/>
                <w:szCs w:val="24"/>
                <w:highlight w:val="none"/>
              </w:rPr>
              <w:t>七、货物报价</w:t>
            </w:r>
          </w:p>
          <w:p w14:paraId="2ED00A65">
            <w:pPr>
              <w:keepNext w:val="0"/>
              <w:keepLines w:val="0"/>
              <w:suppressLineNumbers w:val="0"/>
              <w:spacing w:before="0" w:beforeAutospacing="0" w:after="0" w:afterAutospacing="0" w:line="360" w:lineRule="auto"/>
              <w:ind w:left="0" w:right="0" w:firstLine="498" w:firstLineChars="200"/>
              <w:rPr>
                <w:rFonts w:hint="eastAsia" w:ascii="宋体" w:hAnsi="宋体" w:cs="宋体"/>
                <w:color w:val="auto"/>
                <w:sz w:val="21"/>
                <w:szCs w:val="21"/>
                <w:highlight w:val="none"/>
              </w:rPr>
            </w:pPr>
            <w:r>
              <w:rPr>
                <w:rFonts w:hint="eastAsia" w:ascii="宋体" w:hAnsi="宋体"/>
                <w:b/>
                <w:color w:val="auto"/>
                <w:spacing w:val="4"/>
                <w:sz w:val="24"/>
                <w:highlight w:val="none"/>
              </w:rPr>
              <w:t>3、</w:t>
            </w:r>
            <w:r>
              <w:rPr>
                <w:rFonts w:hint="eastAsia" w:ascii="宋体" w:hAnsi="宋体"/>
                <w:b/>
                <w:color w:val="auto"/>
                <w:sz w:val="24"/>
                <w:highlight w:val="none"/>
              </w:rPr>
              <w:t>报价应分单价、小计、总价。</w:t>
            </w:r>
          </w:p>
        </w:tc>
        <w:tc>
          <w:tcPr>
            <w:tcW w:w="779" w:type="dxa"/>
            <w:tcBorders>
              <w:top w:val="single" w:color="auto" w:sz="4" w:space="0"/>
              <w:left w:val="single" w:color="auto" w:sz="4" w:space="0"/>
              <w:bottom w:val="single" w:color="auto" w:sz="4" w:space="0"/>
              <w:right w:val="single" w:color="auto" w:sz="4" w:space="0"/>
            </w:tcBorders>
            <w:vAlign w:val="center"/>
          </w:tcPr>
          <w:p w14:paraId="48E40FA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3DC267A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4F461BC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7B41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4BEF4284">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144289B1">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38E9F3B2">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19F7431D">
            <w:pPr>
              <w:keepNext w:val="0"/>
              <w:keepLines w:val="0"/>
              <w:suppressLineNumbers w:val="0"/>
              <w:spacing w:before="0" w:beforeAutospacing="0" w:after="0" w:afterAutospacing="0" w:line="360" w:lineRule="auto"/>
              <w:ind w:left="0" w:right="0"/>
              <w:rPr>
                <w:rFonts w:hint="eastAsia" w:ascii="宋体" w:hAnsi="宋体"/>
                <w:b/>
                <w:color w:val="auto"/>
                <w:spacing w:val="4"/>
                <w:sz w:val="21"/>
                <w:szCs w:val="21"/>
                <w:highlight w:val="none"/>
              </w:rPr>
            </w:pPr>
            <w:r>
              <w:rPr>
                <w:rFonts w:hint="eastAsia" w:ascii="宋体" w:hAnsi="宋体"/>
                <w:b/>
                <w:color w:val="auto"/>
                <w:sz w:val="24"/>
                <w:szCs w:val="24"/>
                <w:highlight w:val="none"/>
              </w:rPr>
              <w:t>八、付款方式</w:t>
            </w:r>
            <w:r>
              <w:rPr>
                <w:rFonts w:hint="eastAsia" w:ascii="宋体" w:hAnsi="宋体"/>
                <w:color w:val="auto"/>
                <w:kern w:val="0"/>
                <w:sz w:val="24"/>
                <w:szCs w:val="24"/>
                <w:highlight w:val="none"/>
              </w:rPr>
              <w:br w:type="textWrapping"/>
            </w:r>
            <w:r>
              <w:rPr>
                <w:rFonts w:hint="eastAsia" w:ascii="宋体" w:hAnsi="宋体"/>
                <w:color w:val="auto"/>
                <w:kern w:val="0"/>
                <w:sz w:val="24"/>
                <w:szCs w:val="24"/>
                <w:highlight w:val="none"/>
              </w:rPr>
              <w:t xml:space="preserve">   1</w:t>
            </w:r>
            <w:r>
              <w:rPr>
                <w:rFonts w:hint="eastAsia" w:ascii="宋体" w:hAnsi="宋体"/>
                <w:color w:val="auto"/>
                <w:kern w:val="0"/>
                <w:sz w:val="24"/>
                <w:szCs w:val="24"/>
                <w:highlight w:val="none"/>
                <w:lang w:val="en-US" w:eastAsia="zh-CN"/>
              </w:rPr>
              <w:t>.</w:t>
            </w:r>
            <w:r>
              <w:rPr>
                <w:rFonts w:hint="eastAsia" w:ascii="宋体" w:hAnsi="宋体" w:eastAsia="宋体" w:cs="宋体"/>
                <w:color w:val="auto"/>
                <w:sz w:val="24"/>
                <w:szCs w:val="24"/>
                <w:highlight w:val="none"/>
              </w:rPr>
              <w:t>由采购单位根据厦门市财政局的有关规定和合同约定付款。</w:t>
            </w:r>
          </w:p>
        </w:tc>
        <w:tc>
          <w:tcPr>
            <w:tcW w:w="779" w:type="dxa"/>
            <w:tcBorders>
              <w:top w:val="single" w:color="auto" w:sz="4" w:space="0"/>
              <w:left w:val="single" w:color="auto" w:sz="4" w:space="0"/>
              <w:bottom w:val="single" w:color="auto" w:sz="4" w:space="0"/>
              <w:right w:val="single" w:color="auto" w:sz="4" w:space="0"/>
            </w:tcBorders>
            <w:vAlign w:val="center"/>
          </w:tcPr>
          <w:p w14:paraId="78842F9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4C049020">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1E8B98C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598B0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2FC401D0">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3EA1D56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37B3517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736270EA">
            <w:pPr>
              <w:keepNext w:val="0"/>
              <w:keepLines w:val="0"/>
              <w:suppressLineNumbers w:val="0"/>
              <w:spacing w:before="0" w:beforeAutospacing="0" w:after="0" w:afterAutospacing="0" w:line="360" w:lineRule="auto"/>
              <w:ind w:left="0" w:right="0"/>
              <w:rPr>
                <w:rFonts w:hint="default" w:ascii="宋体" w:hAnsi="宋体"/>
                <w:b/>
                <w:color w:val="auto"/>
                <w:sz w:val="24"/>
                <w:szCs w:val="24"/>
                <w:highlight w:val="none"/>
              </w:rPr>
            </w:pPr>
            <w:r>
              <w:rPr>
                <w:rFonts w:hint="eastAsia" w:ascii="宋体" w:hAnsi="宋体"/>
                <w:b/>
                <w:color w:val="auto"/>
                <w:sz w:val="24"/>
                <w:szCs w:val="24"/>
                <w:highlight w:val="none"/>
              </w:rPr>
              <w:t>九、合同签订</w:t>
            </w:r>
          </w:p>
          <w:p w14:paraId="0289F623">
            <w:pPr>
              <w:keepNext w:val="0"/>
              <w:keepLines w:val="0"/>
              <w:suppressLineNumbers w:val="0"/>
              <w:spacing w:before="0" w:beforeAutospacing="0" w:after="0" w:afterAutospacing="0" w:line="360" w:lineRule="auto"/>
              <w:ind w:left="0" w:right="0" w:firstLine="470" w:firstLineChars="196"/>
              <w:rPr>
                <w:rFonts w:hint="default" w:ascii="宋体" w:hAnsi="宋体"/>
                <w:color w:val="auto"/>
                <w:sz w:val="24"/>
                <w:szCs w:val="24"/>
                <w:highlight w:val="none"/>
              </w:rPr>
            </w:pPr>
            <w:r>
              <w:rPr>
                <w:rFonts w:hint="eastAsia" w:ascii="宋体" w:hAnsi="宋体"/>
                <w:color w:val="auto"/>
                <w:sz w:val="24"/>
                <w:szCs w:val="24"/>
                <w:highlight w:val="none"/>
              </w:rPr>
              <w:t>1.中标供应商接到中标通知书后20个日历日内，持中标通知书与采购单位签订合同。</w:t>
            </w:r>
          </w:p>
          <w:p w14:paraId="148315A8">
            <w:pPr>
              <w:keepNext w:val="0"/>
              <w:keepLines w:val="0"/>
              <w:suppressLineNumbers w:val="0"/>
              <w:spacing w:before="0" w:beforeAutospacing="0" w:after="0" w:afterAutospacing="0" w:line="360" w:lineRule="auto"/>
              <w:ind w:left="0" w:right="0" w:firstLine="378"/>
              <w:rPr>
                <w:rFonts w:hint="eastAsia" w:ascii="宋体" w:hAnsi="宋体" w:cs="宋体"/>
                <w:color w:val="auto"/>
                <w:sz w:val="21"/>
                <w:szCs w:val="21"/>
                <w:highlight w:val="none"/>
              </w:rPr>
            </w:pPr>
            <w:r>
              <w:rPr>
                <w:rFonts w:hint="eastAsia" w:ascii="宋体" w:hAnsi="宋体"/>
                <w:color w:val="auto"/>
                <w:sz w:val="24"/>
                <w:szCs w:val="24"/>
                <w:highlight w:val="none"/>
              </w:rPr>
              <w:t>2.招标文件、投标文件均作为合同订立的基础，为合同组成部分。</w:t>
            </w:r>
          </w:p>
        </w:tc>
        <w:tc>
          <w:tcPr>
            <w:tcW w:w="779" w:type="dxa"/>
            <w:tcBorders>
              <w:top w:val="single" w:color="auto" w:sz="4" w:space="0"/>
              <w:left w:val="single" w:color="auto" w:sz="4" w:space="0"/>
              <w:bottom w:val="single" w:color="auto" w:sz="4" w:space="0"/>
              <w:right w:val="single" w:color="auto" w:sz="4" w:space="0"/>
            </w:tcBorders>
            <w:vAlign w:val="center"/>
          </w:tcPr>
          <w:p w14:paraId="4E4010D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15C9649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0C0CC2BE">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6E5D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258100F4">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4609A56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2433C60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3CE977A7">
            <w:pPr>
              <w:keepNext w:val="0"/>
              <w:keepLines w:val="0"/>
              <w:widowControl/>
              <w:suppressLineNumbers w:val="0"/>
              <w:spacing w:before="0" w:beforeAutospacing="0" w:after="0" w:afterAutospacing="0" w:line="360" w:lineRule="auto"/>
              <w:ind w:left="0" w:right="-63" w:rightChars="-30"/>
              <w:jc w:val="left"/>
              <w:rPr>
                <w:rFonts w:hint="default" w:ascii="宋体" w:hAnsi="宋体"/>
                <w:color w:val="auto"/>
                <w:sz w:val="24"/>
                <w:szCs w:val="24"/>
                <w:highlight w:val="none"/>
              </w:rPr>
            </w:pPr>
            <w:r>
              <w:rPr>
                <w:rFonts w:hint="eastAsia" w:ascii="宋体" w:hAnsi="宋体"/>
                <w:b/>
                <w:color w:val="auto"/>
                <w:sz w:val="24"/>
                <w:szCs w:val="24"/>
                <w:highlight w:val="none"/>
              </w:rPr>
              <w:t xml:space="preserve">十、其他事项 </w:t>
            </w:r>
          </w:p>
          <w:p w14:paraId="08263C68">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2.投标人提供公司的基本情况、业绩、主要技术人员及资信证明。</w:t>
            </w:r>
          </w:p>
          <w:p w14:paraId="45EC31D6">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3．投标人在投标文件中详细说明所投货物的技术水平、性能等(材质构成、油漆、内外部结构、五金配件、制造工艺、生产流程、加工设备及其它)。</w:t>
            </w:r>
          </w:p>
          <w:p w14:paraId="4A28A46D">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4．附件及零配件：投标人应列出备品/备件及附件的清单及价格。</w:t>
            </w:r>
          </w:p>
          <w:p w14:paraId="7C307D12">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5．投标人认为有必要提供的其它技术资料。</w:t>
            </w:r>
          </w:p>
          <w:p w14:paraId="7C03106E">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6．投标人若有其它方面的特殊功能及优惠条件，可在投标文件中注明。</w:t>
            </w:r>
          </w:p>
          <w:p w14:paraId="7DDEADA6">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ascii="宋体" w:hAnsi="宋体"/>
                <w:bCs/>
                <w:color w:val="auto"/>
                <w:sz w:val="24"/>
                <w:szCs w:val="24"/>
                <w:highlight w:val="none"/>
              </w:rPr>
              <w:t>7</w:t>
            </w:r>
            <w:r>
              <w:rPr>
                <w:rFonts w:hint="eastAsia" w:ascii="宋体" w:hAnsi="宋体"/>
                <w:color w:val="auto"/>
                <w:sz w:val="24"/>
                <w:szCs w:val="24"/>
                <w:highlight w:val="none"/>
              </w:rPr>
              <w:t>．如</w:t>
            </w:r>
            <w:r>
              <w:rPr>
                <w:rFonts w:hint="eastAsia" w:ascii="宋体" w:hAnsi="宋体"/>
                <w:bCs/>
                <w:color w:val="auto"/>
                <w:sz w:val="24"/>
                <w:szCs w:val="24"/>
                <w:highlight w:val="none"/>
              </w:rPr>
              <w:t>采购单位对采购数量有所调整，将按中标单价调整合同总价，中标供应商不得有异议。如款式及型号有所变动必须经采购单位书面确认，涉及单价变动的以中标单价为基准，由采购单位和中标供应商协商确定。</w:t>
            </w:r>
          </w:p>
        </w:tc>
        <w:tc>
          <w:tcPr>
            <w:tcW w:w="779" w:type="dxa"/>
            <w:tcBorders>
              <w:top w:val="single" w:color="auto" w:sz="4" w:space="0"/>
              <w:left w:val="single" w:color="auto" w:sz="4" w:space="0"/>
              <w:bottom w:val="single" w:color="auto" w:sz="4" w:space="0"/>
              <w:right w:val="single" w:color="auto" w:sz="4" w:space="0"/>
            </w:tcBorders>
            <w:vAlign w:val="center"/>
          </w:tcPr>
          <w:p w14:paraId="02DA91FE">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48988E01">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0456780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bl>
    <w:p w14:paraId="0D8A7FFD">
      <w:pPr>
        <w:spacing w:line="360" w:lineRule="auto"/>
        <w:rPr>
          <w:rFonts w:hint="eastAsia" w:ascii="宋体" w:hAnsi="宋体" w:eastAsia="宋体" w:cs="宋体"/>
          <w:b/>
          <w:color w:val="auto"/>
          <w:sz w:val="24"/>
          <w:szCs w:val="24"/>
          <w:highlight w:val="none"/>
        </w:rPr>
      </w:pPr>
    </w:p>
    <w:p w14:paraId="694BC9ED">
      <w:pPr>
        <w:tabs>
          <w:tab w:val="left" w:pos="5130"/>
        </w:tabs>
        <w:spacing w:line="360" w:lineRule="auto"/>
        <w:ind w:firstLine="480" w:firstLineChars="200"/>
        <w:rPr>
          <w:rFonts w:hint="eastAsia" w:ascii="宋体" w:hAnsi="宋体" w:eastAsia="宋体" w:cs="宋体"/>
          <w:color w:val="auto"/>
          <w:sz w:val="24"/>
          <w:szCs w:val="24"/>
          <w:highlight w:val="none"/>
        </w:rPr>
      </w:pPr>
    </w:p>
    <w:p w14:paraId="5F37314F">
      <w:pPr>
        <w:tabs>
          <w:tab w:val="left" w:pos="5130"/>
        </w:tabs>
        <w:spacing w:line="360" w:lineRule="auto"/>
        <w:ind w:firstLine="480" w:firstLineChars="200"/>
        <w:rPr>
          <w:rFonts w:hint="eastAsia" w:ascii="宋体" w:hAnsi="宋体" w:eastAsia="宋体" w:cs="宋体"/>
          <w:color w:val="auto"/>
          <w:sz w:val="24"/>
          <w:szCs w:val="24"/>
          <w:highlight w:val="none"/>
        </w:rPr>
      </w:pPr>
    </w:p>
    <w:p w14:paraId="2B93455F">
      <w:pPr>
        <w:spacing w:line="360" w:lineRule="auto"/>
        <w:rPr>
          <w:rFonts w:hint="eastAsia" w:ascii="宋体" w:hAnsi="宋体" w:eastAsia="宋体" w:cs="宋体"/>
          <w:color w:val="auto"/>
          <w:sz w:val="24"/>
          <w:szCs w:val="24"/>
          <w:highlight w:val="none"/>
        </w:rPr>
      </w:pPr>
    </w:p>
    <w:p w14:paraId="6A0C256F">
      <w:pPr>
        <w:spacing w:line="360" w:lineRule="auto"/>
        <w:rPr>
          <w:rFonts w:hint="eastAsia" w:ascii="宋体" w:hAnsi="宋体" w:eastAsia="宋体" w:cs="宋体"/>
          <w:b/>
          <w:bCs/>
          <w:color w:val="auto"/>
          <w:sz w:val="24"/>
          <w:szCs w:val="24"/>
          <w:highlight w:val="none"/>
        </w:rPr>
        <w:sectPr>
          <w:pgSz w:w="11906" w:h="16838"/>
          <w:pgMar w:top="851" w:right="851" w:bottom="851" w:left="1134" w:header="567" w:footer="567" w:gutter="0"/>
          <w:pgBorders>
            <w:top w:val="none" w:sz="0" w:space="0"/>
            <w:left w:val="none" w:sz="0" w:space="0"/>
            <w:bottom w:val="none" w:sz="0" w:space="0"/>
            <w:right w:val="none" w:sz="0" w:space="0"/>
          </w:pgBorders>
          <w:pgNumType w:start="1"/>
          <w:cols w:space="720" w:num="1"/>
          <w:docGrid w:linePitch="312" w:charSpace="0"/>
        </w:sectPr>
      </w:pPr>
    </w:p>
    <w:p w14:paraId="5D27C48B">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szCs w:val="32"/>
          <w:highlight w:val="none"/>
        </w:rPr>
        <w:t>第四章</w:t>
      </w:r>
      <w:r>
        <w:rPr>
          <w:rFonts w:hint="eastAsia" w:ascii="宋体" w:hAnsi="宋体" w:eastAsia="宋体" w:cs="宋体"/>
          <w:b/>
          <w:color w:val="auto"/>
          <w:sz w:val="32"/>
          <w:szCs w:val="32"/>
          <w:highlight w:val="none"/>
        </w:rPr>
        <w:t xml:space="preserve">  </w:t>
      </w:r>
      <w:r>
        <w:rPr>
          <w:rFonts w:hint="default" w:ascii="宋体" w:hAnsi="宋体" w:cs="宋体"/>
          <w:b/>
          <w:color w:val="auto"/>
          <w:sz w:val="32"/>
          <w:szCs w:val="32"/>
          <w:highlight w:val="none"/>
        </w:rPr>
        <w:t>大宗</w:t>
      </w:r>
      <w:r>
        <w:rPr>
          <w:rFonts w:hint="eastAsia" w:ascii="宋体" w:hAnsi="宋体" w:eastAsia="宋体" w:cs="宋体"/>
          <w:b/>
          <w:color w:val="auto"/>
          <w:sz w:val="32"/>
          <w:szCs w:val="32"/>
          <w:highlight w:val="none"/>
        </w:rPr>
        <w:t>采购合同</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9"/>
      </w:tblGrid>
      <w:tr w14:paraId="12AA4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99" w:type="dxa"/>
            <w:noWrap w:val="0"/>
            <w:vAlign w:val="top"/>
          </w:tcPr>
          <w:p w14:paraId="3CF70BF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15FFF9A">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本格式条款仅作为双方签订合同的参考，为阐明各方的权利和义务，经协商可增加新的条款、修改相关条款， 但不得与招标文件、投标文件的实质性内容相背离。</w:t>
            </w:r>
          </w:p>
        </w:tc>
      </w:tr>
    </w:tbl>
    <w:p w14:paraId="251545DB">
      <w:pPr>
        <w:spacing w:line="360" w:lineRule="auto"/>
        <w:ind w:right="480"/>
        <w:jc w:val="center"/>
        <w:rPr>
          <w:rFonts w:ascii="宋体" w:hAnsi="宋体" w:cs="宋体"/>
          <w:b/>
          <w:color w:val="auto"/>
          <w:kern w:val="0"/>
          <w:sz w:val="24"/>
          <w:szCs w:val="24"/>
          <w:highlight w:val="none"/>
        </w:rPr>
      </w:pPr>
      <w:bookmarkStart w:id="0" w:name="htmc"/>
      <w:bookmarkEnd w:id="0"/>
      <w:r>
        <w:rPr>
          <w:rFonts w:hint="eastAsia" w:ascii="宋体" w:hAnsi="宋体" w:eastAsia="宋体" w:cs="Times New Roman"/>
          <w:color w:val="auto"/>
          <w:kern w:val="2"/>
          <w:sz w:val="24"/>
          <w:szCs w:val="24"/>
          <w:highlight w:val="none"/>
          <w:lang w:val="en-US" w:eastAsia="zh-CN" w:bidi="ar"/>
        </w:rPr>
        <w:t xml:space="preserve">     </w:t>
      </w:r>
      <w:r>
        <w:rPr>
          <w:rFonts w:hint="eastAsia" w:ascii="宋体" w:hAnsi="宋体" w:cs="宋体"/>
          <w:color w:val="auto"/>
          <w:sz w:val="24"/>
          <w:szCs w:val="24"/>
          <w:highlight w:val="none"/>
        </w:rPr>
        <w:t>合同编号：</w:t>
      </w:r>
    </w:p>
    <w:p w14:paraId="5226B6C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29D923B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3ED9D655">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0BB41770">
      <w:pPr>
        <w:spacing w:line="360" w:lineRule="auto"/>
        <w:ind w:firstLine="600" w:firstLineChars="250"/>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根据买方对</w:t>
      </w:r>
      <w:r>
        <w:rPr>
          <w:rFonts w:hint="eastAsia" w:ascii="宋体" w:hAnsi="宋体" w:eastAsia="宋体" w:cs="宋体"/>
          <w:color w:val="auto"/>
          <w:sz w:val="24"/>
          <w:szCs w:val="24"/>
          <w:highlight w:val="none"/>
          <w:u w:val="single"/>
          <w:lang w:val="en-US" w:eastAsia="zh-CN"/>
        </w:rPr>
        <w:t xml:space="preserve">        （</w:t>
      </w:r>
      <w:r>
        <w:rPr>
          <w:rFonts w:hint="default" w:ascii="宋体" w:hAnsi="宋体" w:cs="宋体"/>
          <w:color w:val="auto"/>
          <w:sz w:val="24"/>
          <w:szCs w:val="24"/>
          <w:highlight w:val="none"/>
          <w:u w:val="single"/>
          <w:lang w:eastAsia="zh-CN"/>
        </w:rPr>
        <w:t>家具</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lang w:val="en-US" w:eastAsia="zh-CN"/>
        </w:rPr>
        <w:t>进行采购</w:t>
      </w:r>
      <w:r>
        <w:rPr>
          <w:rFonts w:hint="eastAsia" w:ascii="宋体" w:hAnsi="宋体" w:cs="宋体"/>
          <w:color w:val="auto"/>
          <w:sz w:val="24"/>
          <w:szCs w:val="24"/>
          <w:highlight w:val="none"/>
        </w:rPr>
        <w:t>（招标/项目编号：      ）的采购结果，现依照</w:t>
      </w:r>
      <w:r>
        <w:rPr>
          <w:rFonts w:hint="eastAsia" w:ascii="宋体" w:hAnsi="宋体" w:eastAsia="宋体" w:cs="宋体"/>
          <w:color w:val="auto"/>
          <w:sz w:val="24"/>
          <w:szCs w:val="24"/>
          <w:highlight w:val="none"/>
          <w:lang w:val="en-US" w:eastAsia="zh-CN"/>
        </w:rPr>
        <w:t>招标/采购文件、投标/报价文件</w:t>
      </w:r>
      <w:r>
        <w:rPr>
          <w:rFonts w:hint="eastAsia" w:ascii="宋体" w:hAnsi="宋体" w:cs="宋体"/>
          <w:color w:val="auto"/>
          <w:sz w:val="24"/>
          <w:szCs w:val="24"/>
          <w:highlight w:val="none"/>
        </w:rPr>
        <w:t>及有关法律、法规、规章规定的内容，双方达成如下协议：</w:t>
      </w:r>
    </w:p>
    <w:p w14:paraId="087411A9">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11"/>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14:paraId="107DA955">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14:paraId="2DF5F43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vAlign w:val="center"/>
          </w:tcPr>
          <w:p w14:paraId="69DCC26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vAlign w:val="center"/>
          </w:tcPr>
          <w:p w14:paraId="5CCAB0F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vAlign w:val="center"/>
          </w:tcPr>
          <w:p w14:paraId="585F765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vAlign w:val="center"/>
          </w:tcPr>
          <w:p w14:paraId="2EADEBD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金额（元）</w:t>
            </w:r>
          </w:p>
        </w:tc>
      </w:tr>
      <w:tr w14:paraId="255F3167">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14:paraId="5404D043">
            <w:pPr>
              <w:keepNext w:val="0"/>
              <w:keepLines w:val="0"/>
              <w:widowControl/>
              <w:suppressLineNumbers w:val="0"/>
              <w:spacing w:before="0" w:beforeAutospacing="0" w:after="0" w:afterAutospacing="0" w:line="360" w:lineRule="auto"/>
              <w:ind w:left="0" w:right="0" w:firstLine="480" w:firstLineChars="2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05" w:type="dxa"/>
            <w:tcBorders>
              <w:top w:val="nil"/>
              <w:left w:val="nil"/>
              <w:bottom w:val="single" w:color="auto" w:sz="4" w:space="0"/>
              <w:right w:val="single" w:color="auto" w:sz="4" w:space="0"/>
            </w:tcBorders>
            <w:vAlign w:val="center"/>
          </w:tcPr>
          <w:p w14:paraId="2E75CA9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vAlign w:val="center"/>
          </w:tcPr>
          <w:p w14:paraId="6EFF773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vAlign w:val="center"/>
          </w:tcPr>
          <w:p w14:paraId="1FFFE3A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color w:val="auto"/>
                <w:sz w:val="24"/>
                <w:szCs w:val="24"/>
                <w:highlight w:val="none"/>
              </w:rPr>
              <w:t>1批</w:t>
            </w:r>
            <w:r>
              <w:rPr>
                <w:rFonts w:hint="eastAsia" w:ascii="宋体" w:hAnsi="宋体" w:eastAsia="宋体" w:cs="宋体"/>
                <w:color w:val="auto"/>
                <w:kern w:val="2"/>
                <w:sz w:val="24"/>
                <w:szCs w:val="24"/>
                <w:highlight w:val="none"/>
                <w:lang w:val="en-US" w:eastAsia="zh-CN" w:bidi="ar"/>
              </w:rPr>
              <w:t>（详见附件</w:t>
            </w:r>
            <w:r>
              <w:rPr>
                <w:rFonts w:hint="default" w:ascii="宋体" w:hAnsi="宋体" w:eastAsia="宋体" w:cs="宋体"/>
                <w:color w:val="auto"/>
                <w:kern w:val="2"/>
                <w:sz w:val="24"/>
                <w:szCs w:val="24"/>
                <w:highlight w:val="none"/>
                <w:lang w:eastAsia="zh-CN" w:bidi="ar"/>
              </w:rPr>
              <w:t>1《</w:t>
            </w:r>
            <w:r>
              <w:rPr>
                <w:rFonts w:hint="eastAsia" w:ascii="宋体" w:hAnsi="宋体" w:eastAsia="宋体" w:cs="宋体"/>
                <w:color w:val="auto"/>
                <w:kern w:val="2"/>
                <w:sz w:val="24"/>
                <w:szCs w:val="24"/>
                <w:highlight w:val="none"/>
                <w:lang w:val="en-US" w:eastAsia="zh-CN" w:bidi="ar"/>
              </w:rPr>
              <w:t>供货清单</w:t>
            </w:r>
            <w:r>
              <w:rPr>
                <w:rFonts w:hint="default" w:ascii="宋体" w:hAnsi="宋体" w:eastAsia="宋体" w:cs="宋体"/>
                <w:color w:val="auto"/>
                <w:kern w:val="2"/>
                <w:sz w:val="24"/>
                <w:szCs w:val="24"/>
                <w:highlight w:val="none"/>
                <w:lang w:eastAsia="zh-CN" w:bidi="ar"/>
              </w:rPr>
              <w:t>》</w:t>
            </w:r>
            <w:r>
              <w:rPr>
                <w:rFonts w:hint="eastAsia" w:ascii="宋体" w:hAnsi="宋体" w:eastAsia="宋体" w:cs="宋体"/>
                <w:color w:val="auto"/>
                <w:kern w:val="2"/>
                <w:sz w:val="24"/>
                <w:szCs w:val="24"/>
                <w:highlight w:val="none"/>
                <w:lang w:val="en-US" w:eastAsia="zh-CN" w:bidi="ar"/>
              </w:rPr>
              <w:t>）</w:t>
            </w:r>
          </w:p>
        </w:tc>
        <w:tc>
          <w:tcPr>
            <w:tcW w:w="1321" w:type="dxa"/>
            <w:tcBorders>
              <w:top w:val="nil"/>
              <w:left w:val="nil"/>
              <w:bottom w:val="single" w:color="auto" w:sz="4" w:space="0"/>
              <w:right w:val="single" w:color="auto" w:sz="4" w:space="0"/>
            </w:tcBorders>
            <w:vAlign w:val="center"/>
          </w:tcPr>
          <w:p w14:paraId="5533973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w:t>
            </w:r>
          </w:p>
        </w:tc>
      </w:tr>
      <w:tr w14:paraId="7EA7C975">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14:paraId="2AA27367">
            <w:pPr>
              <w:keepNext w:val="0"/>
              <w:keepLines w:val="0"/>
              <w:widowControl/>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货物验收完成后的保修等售后服务由卖方与使用单位另行签订服务合同单独约定，与本合同各自独立履行、互不影响。</w:t>
            </w:r>
          </w:p>
        </w:tc>
      </w:tr>
      <w:tr w14:paraId="6886E842">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14:paraId="35ABDA42">
            <w:pPr>
              <w:keepNext w:val="0"/>
              <w:keepLines w:val="0"/>
              <w:widowControl/>
              <w:suppressLineNumbers w:val="0"/>
              <w:spacing w:before="0" w:beforeAutospacing="0" w:after="0" w:afterAutospacing="0" w:line="360" w:lineRule="auto"/>
              <w:ind w:left="0" w:right="0"/>
              <w:jc w:val="left"/>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 xml:space="preserve">备注说明： 本项目使用单位（最终用户）：                  </w:t>
            </w:r>
            <w:r>
              <w:rPr>
                <w:rFonts w:hint="eastAsia" w:ascii="宋体" w:hAnsi="宋体" w:cs="宋体"/>
                <w:b/>
                <w:color w:val="auto"/>
                <w:sz w:val="24"/>
                <w:szCs w:val="24"/>
                <w:highlight w:val="none"/>
                <w:u w:val="single"/>
              </w:rPr>
              <w:t>。</w:t>
            </w:r>
          </w:p>
        </w:tc>
      </w:tr>
    </w:tbl>
    <w:p w14:paraId="179E5B1F">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27FFEB2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14:paraId="0672E5A1">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2.2交货地点：使用单位指定地点。</w:t>
      </w:r>
    </w:p>
    <w:p w14:paraId="5BEB0B4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2.3交付使用期: 合同签订之日起  个日历日内（含交货、安装）。</w:t>
      </w:r>
    </w:p>
    <w:p w14:paraId="7E074C8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2.4到货签收：卖方每批次供货到指定地点后，卖方应当组织最终用户对到货数量、型号等进行清点签收，并向买方提交最终用户签署的到货签收单原件。</w:t>
      </w:r>
    </w:p>
    <w:p w14:paraId="04CF485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 xml:space="preserve">3、采购清单： </w:t>
      </w:r>
    </w:p>
    <w:p w14:paraId="72B30D0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14:paraId="1C2A21B1">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14:paraId="1DE54628">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w:t>
      </w:r>
      <w:r>
        <w:rPr>
          <w:rFonts w:hint="default" w:hAnsi="宋体" w:cs="宋体"/>
          <w:color w:val="auto"/>
          <w:sz w:val="24"/>
          <w:szCs w:val="24"/>
          <w:highlight w:val="none"/>
        </w:rPr>
        <w:t>足额</w:t>
      </w:r>
      <w:r>
        <w:rPr>
          <w:rFonts w:hint="eastAsia" w:hAnsi="宋体" w:cs="宋体"/>
          <w:color w:val="auto"/>
          <w:sz w:val="24"/>
          <w:szCs w:val="24"/>
          <w:highlight w:val="none"/>
        </w:rPr>
        <w:t>货款后，买方按4.2约定向卖方付款。</w:t>
      </w:r>
    </w:p>
    <w:p w14:paraId="7E08F521">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4.2付款方式</w:t>
      </w:r>
    </w:p>
    <w:p w14:paraId="52BBF93B">
      <w:pPr>
        <w:tabs>
          <w:tab w:val="left" w:pos="5130"/>
        </w:tabs>
        <w:spacing w:line="360" w:lineRule="auto"/>
        <w:ind w:left="479" w:leftChars="228" w:firstLine="0" w:firstLineChars="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4.2.</w:t>
      </w: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sz w:val="24"/>
          <w:szCs w:val="24"/>
          <w:highlight w:val="none"/>
        </w:rPr>
        <w:t>合同签订后</w:t>
      </w:r>
      <w:r>
        <w:rPr>
          <w:rFonts w:hint="eastAsia" w:ascii="宋体" w:hAnsi="宋体" w:cs="宋体"/>
          <w:color w:val="auto"/>
          <w:sz w:val="24"/>
          <w:szCs w:val="24"/>
          <w:highlight w:val="none"/>
          <w:lang w:eastAsia="zh-CN"/>
        </w:rPr>
        <w:t>15个</w:t>
      </w:r>
      <w:r>
        <w:rPr>
          <w:rFonts w:hint="eastAsia" w:ascii="宋体" w:hAnsi="宋体" w:eastAsia="宋体" w:cs="宋体"/>
          <w:color w:val="auto"/>
          <w:sz w:val="24"/>
          <w:szCs w:val="24"/>
          <w:highlight w:val="none"/>
        </w:rPr>
        <w:t xml:space="preserve">工作日内，买方向卖方支付合同总价 </w:t>
      </w:r>
      <w:r>
        <w:rPr>
          <w:rFonts w:hint="eastAsia" w:ascii="宋体" w:hAnsi="宋体" w:cs="宋体"/>
          <w:color w:val="auto"/>
          <w:sz w:val="24"/>
          <w:szCs w:val="24"/>
          <w:highlight w:val="none"/>
          <w:lang w:val="en-US" w:eastAsia="zh-CN"/>
        </w:rPr>
        <w:t>50</w:t>
      </w:r>
      <w:r>
        <w:rPr>
          <w:rFonts w:hint="eastAsia" w:ascii="宋体" w:hAnsi="宋体" w:eastAsia="宋体" w:cs="宋体"/>
          <w:color w:val="auto"/>
          <w:sz w:val="24"/>
          <w:szCs w:val="24"/>
          <w:highlight w:val="none"/>
        </w:rPr>
        <w:t>%的预付款。</w:t>
      </w:r>
    </w:p>
    <w:p w14:paraId="2B983035">
      <w:pPr>
        <w:tabs>
          <w:tab w:val="left" w:pos="5130"/>
        </w:tabs>
        <w:spacing w:line="360" w:lineRule="auto"/>
        <w:ind w:left="0" w:leftChars="0"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4.2.</w:t>
      </w:r>
      <w:r>
        <w:rPr>
          <w:rFonts w:hint="eastAsia" w:ascii="宋体" w:hAnsi="宋体" w:cs="宋体"/>
          <w:color w:val="auto"/>
          <w:kern w:val="0"/>
          <w:sz w:val="24"/>
          <w:szCs w:val="24"/>
          <w:highlight w:val="none"/>
          <w:lang w:val="en-US" w:eastAsia="zh-CN"/>
        </w:rPr>
        <w:t>2</w:t>
      </w:r>
      <w:r>
        <w:rPr>
          <w:rFonts w:hint="eastAsia" w:ascii="宋体" w:hAnsi="宋体" w:cs="宋体"/>
          <w:color w:val="auto"/>
          <w:sz w:val="24"/>
          <w:szCs w:val="24"/>
          <w:highlight w:val="none"/>
        </w:rPr>
        <w:t>卖方供货安装、调试完毕，使用单位验收合格后，卖方开具合同总价100%的正规发票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和全部货物清单给买方，买方在</w:t>
      </w:r>
      <w:r>
        <w:rPr>
          <w:rFonts w:hint="eastAsia" w:ascii="宋体" w:hAnsi="宋体" w:cs="宋体"/>
          <w:color w:val="auto"/>
          <w:sz w:val="24"/>
          <w:szCs w:val="24"/>
          <w:highlight w:val="none"/>
          <w:lang w:val="en-US" w:eastAsia="zh-CN"/>
        </w:rPr>
        <w:t>15个</w:t>
      </w:r>
      <w:r>
        <w:rPr>
          <w:rFonts w:hint="eastAsia" w:ascii="宋体" w:hAnsi="宋体" w:cs="宋体"/>
          <w:color w:val="auto"/>
          <w:sz w:val="24"/>
          <w:szCs w:val="24"/>
          <w:highlight w:val="none"/>
        </w:rPr>
        <w:t>工作日内向卖方支付本合同总价100%的款项</w:t>
      </w:r>
      <w:r>
        <w:rPr>
          <w:rFonts w:hint="eastAsia" w:ascii="宋体" w:hAnsi="宋体" w:cs="宋体"/>
          <w:color w:val="auto"/>
          <w:sz w:val="24"/>
          <w:szCs w:val="24"/>
          <w:highlight w:val="none"/>
          <w:lang w:eastAsia="zh-CN"/>
        </w:rPr>
        <w:t>。</w:t>
      </w:r>
    </w:p>
    <w:p w14:paraId="39944B4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14:paraId="7FA3E6F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5.1卖方应在交付使用时向使用单位提供配套资料1套。</w:t>
      </w:r>
    </w:p>
    <w:p w14:paraId="687A4B7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14:paraId="38E3602E">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14:paraId="61DD992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6.1合同货物到达交货地点且卖方完成安装工作后，买卖双方同意，合同货物由使用单位验收并以使用单位的验收意见为准。合同货物安装后经使用单位验收合格视为最终验收合格。</w:t>
      </w:r>
    </w:p>
    <w:p w14:paraId="6AA4F8E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6.2合同货物验收时，由使用单位签署</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w:t>
      </w:r>
    </w:p>
    <w:p w14:paraId="0FA1A0E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14:paraId="32944F9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14:paraId="1DA1DD9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6.5买方根据本合同约定提出换货、退货或解除合同的，卖方应在收到买方或使用单位通知后3个工作日内自行收回不符合合同约定的货物，并承担相应费用。</w:t>
      </w:r>
    </w:p>
    <w:p w14:paraId="40875C1B">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14:paraId="1A40DEB4">
      <w:pPr>
        <w:tabs>
          <w:tab w:val="left" w:pos="0"/>
        </w:tabs>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货物验收后的维修等售后服务由卖方直接向最终用户提供，卖方应就货物售后服务与最终用户另行签订相应服务合同，买方不向最终用户承担售后服务义务。</w:t>
      </w:r>
    </w:p>
    <w:p w14:paraId="6A22DAD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14:paraId="7CF5336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7EAF94D8">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14:paraId="528738D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9.1卖方未能按时交货或未能按时交付使用的，每逾期一日，卖方应支付逾期交货货款1‰的违约金。逾期超过10个日历日，买方有权单方解除本合同，卖方应另外支付合同总价20％的违约金。</w:t>
      </w:r>
    </w:p>
    <w:p w14:paraId="485C957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14:paraId="0EEE324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07BBA63A">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14:paraId="1286F8DB">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357250C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因卖方原因导致退换货的，卖方应承担退换货所需的一切费用。如卖方未在规定时间内收回不合格货物，买方不对上述货物的灭失或损坏承担任何责任。如卖方逾期超过20个日历日仍未收回的，买方有权自行处理上述货物。</w:t>
      </w:r>
    </w:p>
    <w:p w14:paraId="1D83AC5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14:paraId="09E66BE1">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14:paraId="171D21B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14:paraId="1A5153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757357EF">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0FDCC7A1">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14:paraId="3CDA85E7">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14:paraId="70BA7C8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w:t>
      </w:r>
      <w:r>
        <w:rPr>
          <w:rFonts w:hint="eastAsia" w:ascii="宋体" w:hAnsi="宋体" w:eastAsia="宋体" w:cs="宋体"/>
          <w:color w:val="auto"/>
          <w:sz w:val="24"/>
          <w:szCs w:val="24"/>
          <w:highlight w:val="none"/>
        </w:rPr>
        <w:t>地</w:t>
      </w:r>
      <w:r>
        <w:rPr>
          <w:rFonts w:hint="default" w:ascii="宋体" w:hAnsi="宋体" w:cs="宋体"/>
          <w:color w:val="auto"/>
          <w:sz w:val="24"/>
          <w:szCs w:val="24"/>
          <w:highlight w:val="none"/>
        </w:rPr>
        <w:t>（交货地）</w:t>
      </w:r>
      <w:r>
        <w:rPr>
          <w:rFonts w:hint="eastAsia" w:ascii="宋体" w:hAnsi="宋体" w:cs="宋体"/>
          <w:color w:val="auto"/>
          <w:sz w:val="24"/>
          <w:szCs w:val="24"/>
          <w:highlight w:val="none"/>
        </w:rPr>
        <w:t>人民法院提起诉讼。</w:t>
      </w:r>
    </w:p>
    <w:p w14:paraId="0153D146">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14:paraId="20525844">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14:paraId="294FC181">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12.2卖方同意，由卖方</w:t>
      </w:r>
      <w:r>
        <w:rPr>
          <w:rFonts w:hint="eastAsia" w:ascii="宋体" w:hAnsi="宋体" w:cs="宋体"/>
          <w:bCs/>
          <w:color w:val="auto"/>
          <w:kern w:val="0"/>
          <w:sz w:val="24"/>
          <w:szCs w:val="24"/>
          <w:highlight w:val="none"/>
        </w:rPr>
        <w:t>依据与最终用户的服务协议直接向最终用户履行保修等售后服务义务。</w:t>
      </w:r>
    </w:p>
    <w:p w14:paraId="1DC503BE">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12.3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07C5B703">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25A00B58">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08CB5240">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1D8BA3B5">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5B8EB9F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12.4</w:t>
      </w:r>
      <w:r>
        <w:rPr>
          <w:rFonts w:hint="eastAsia" w:ascii="宋体" w:hAnsi="宋体" w:cs="宋体"/>
          <w:color w:val="auto"/>
          <w:sz w:val="24"/>
          <w:szCs w:val="24"/>
          <w:highlight w:val="none"/>
        </w:rPr>
        <w:t>本合同经双方签订之日起生效。一式伍份，买方贰份，卖方贰份，送厦门市财政局政府采购监管处备案壹份，具有同等法律效力。</w:t>
      </w:r>
    </w:p>
    <w:p w14:paraId="7A6DD1C9">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（以下无正文）</w:t>
      </w:r>
    </w:p>
    <w:tbl>
      <w:tblPr>
        <w:tblStyle w:val="11"/>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314"/>
        <w:gridCol w:w="2845"/>
        <w:gridCol w:w="1353"/>
        <w:gridCol w:w="3007"/>
      </w:tblGrid>
      <w:tr w14:paraId="72E8BB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38" w:hRule="atLeast"/>
          <w:jc w:val="center"/>
        </w:trPr>
        <w:tc>
          <w:tcPr>
            <w:tcW w:w="771" w:type="pct"/>
            <w:shd w:val="clear" w:color="auto" w:fill="auto"/>
            <w:vAlign w:val="center"/>
          </w:tcPr>
          <w:p w14:paraId="1C54B54F">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买</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669" w:type="pct"/>
            <w:shd w:val="clear" w:color="auto" w:fill="auto"/>
            <w:vAlign w:val="center"/>
          </w:tcPr>
          <w:p w14:paraId="151559C0">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厦门万翔网络商务有限公司</w:t>
            </w:r>
          </w:p>
        </w:tc>
        <w:tc>
          <w:tcPr>
            <w:tcW w:w="794" w:type="pct"/>
            <w:shd w:val="clear" w:color="auto" w:fill="auto"/>
            <w:vAlign w:val="center"/>
          </w:tcPr>
          <w:p w14:paraId="3EFD73A8">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卖</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764" w:type="pct"/>
            <w:shd w:val="clear" w:color="auto" w:fill="auto"/>
            <w:vAlign w:val="center"/>
          </w:tcPr>
          <w:p w14:paraId="788F0074">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1" w:name="yf2"/>
            <w:bookmarkEnd w:id="1"/>
          </w:p>
        </w:tc>
      </w:tr>
      <w:tr w14:paraId="498BF4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771" w:type="pct"/>
            <w:shd w:val="clear" w:color="auto" w:fill="auto"/>
            <w:vAlign w:val="center"/>
          </w:tcPr>
          <w:p w14:paraId="3E88D913">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669" w:type="pct"/>
            <w:shd w:val="clear" w:color="auto" w:fill="auto"/>
            <w:vAlign w:val="center"/>
          </w:tcPr>
          <w:p w14:paraId="2836F66D">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厦门市湖里区机场北路476号 </w:t>
            </w:r>
          </w:p>
        </w:tc>
        <w:tc>
          <w:tcPr>
            <w:tcW w:w="794" w:type="pct"/>
            <w:shd w:val="clear" w:color="auto" w:fill="auto"/>
            <w:vAlign w:val="center"/>
          </w:tcPr>
          <w:p w14:paraId="69C6D2A4">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764" w:type="pct"/>
            <w:shd w:val="clear" w:color="auto" w:fill="auto"/>
            <w:vAlign w:val="center"/>
          </w:tcPr>
          <w:p w14:paraId="65EBD4BE">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2" w:name="yfzcdz"/>
            <w:bookmarkEnd w:id="2"/>
          </w:p>
        </w:tc>
      </w:tr>
      <w:tr w14:paraId="7E89B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771" w:type="pct"/>
            <w:shd w:val="clear" w:color="auto" w:fill="auto"/>
            <w:vAlign w:val="center"/>
          </w:tcPr>
          <w:p w14:paraId="2D584DF2">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669" w:type="pct"/>
            <w:shd w:val="clear" w:color="auto" w:fill="auto"/>
            <w:vAlign w:val="center"/>
          </w:tcPr>
          <w:p w14:paraId="5671CA4C">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5A67DF4F">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764" w:type="pct"/>
            <w:shd w:val="clear" w:color="auto" w:fill="auto"/>
            <w:vAlign w:val="center"/>
          </w:tcPr>
          <w:p w14:paraId="4E663E80">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3" w:name="yffddbr"/>
            <w:bookmarkEnd w:id="3"/>
          </w:p>
        </w:tc>
      </w:tr>
      <w:tr w14:paraId="203F5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42" w:hRule="atLeast"/>
          <w:jc w:val="center"/>
        </w:trPr>
        <w:tc>
          <w:tcPr>
            <w:tcW w:w="771" w:type="pct"/>
            <w:shd w:val="clear" w:color="auto" w:fill="auto"/>
            <w:vAlign w:val="center"/>
          </w:tcPr>
          <w:p w14:paraId="2B4EBE65">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669" w:type="pct"/>
            <w:shd w:val="clear" w:color="auto" w:fill="auto"/>
            <w:vAlign w:val="center"/>
          </w:tcPr>
          <w:p w14:paraId="0ED78F25">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787733DC">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764" w:type="pct"/>
            <w:shd w:val="clear" w:color="auto" w:fill="auto"/>
            <w:vAlign w:val="center"/>
          </w:tcPr>
          <w:p w14:paraId="6F95E37D">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20A15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771" w:type="pct"/>
            <w:shd w:val="clear" w:color="auto" w:fill="auto"/>
            <w:vAlign w:val="center"/>
          </w:tcPr>
          <w:p w14:paraId="38A0EC2A">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669" w:type="pct"/>
            <w:shd w:val="clear" w:color="auto" w:fill="auto"/>
            <w:vAlign w:val="center"/>
          </w:tcPr>
          <w:p w14:paraId="24C7314A">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520CEB48">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764" w:type="pct"/>
            <w:shd w:val="clear" w:color="auto" w:fill="auto"/>
            <w:vAlign w:val="center"/>
          </w:tcPr>
          <w:p w14:paraId="58583EB4">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4" w:name="yflxdh"/>
            <w:bookmarkEnd w:id="4"/>
          </w:p>
        </w:tc>
      </w:tr>
      <w:tr w14:paraId="259FC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771" w:type="pct"/>
            <w:shd w:val="clear" w:color="auto" w:fill="auto"/>
            <w:vAlign w:val="center"/>
          </w:tcPr>
          <w:p w14:paraId="35417E4C">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669" w:type="pct"/>
            <w:shd w:val="clear" w:color="auto" w:fill="auto"/>
            <w:vAlign w:val="center"/>
          </w:tcPr>
          <w:p w14:paraId="06765F1D">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c>
          <w:tcPr>
            <w:tcW w:w="794" w:type="pct"/>
            <w:shd w:val="clear" w:color="auto" w:fill="auto"/>
            <w:vAlign w:val="center"/>
          </w:tcPr>
          <w:p w14:paraId="7A28AF36">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764" w:type="pct"/>
            <w:shd w:val="clear" w:color="auto" w:fill="auto"/>
            <w:vAlign w:val="center"/>
          </w:tcPr>
          <w:p w14:paraId="2F9141C7">
            <w:pPr>
              <w:keepNext w:val="0"/>
              <w:keepLines w:val="0"/>
              <w:widowControl w:val="0"/>
              <w:suppressLineNumbers w:val="0"/>
              <w:spacing w:before="0" w:beforeAutospacing="0" w:after="0" w:afterAutospacing="0" w:line="240" w:lineRule="atLeast"/>
              <w:ind w:left="0" w:right="0"/>
              <w:jc w:val="left"/>
              <w:rPr>
                <w:rFonts w:hint="eastAsia" w:ascii="宋体" w:hAnsi="宋体" w:eastAsia="宋体" w:cs="Times New Roman"/>
                <w:color w:val="auto"/>
                <w:kern w:val="0"/>
                <w:sz w:val="24"/>
                <w:szCs w:val="24"/>
                <w:highlight w:val="none"/>
              </w:rPr>
            </w:pPr>
            <w:bookmarkStart w:id="5" w:name="yfkhh"/>
            <w:bookmarkEnd w:id="5"/>
          </w:p>
        </w:tc>
      </w:tr>
      <w:tr w14:paraId="19AF5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771" w:type="pct"/>
            <w:shd w:val="clear" w:color="auto" w:fill="auto"/>
            <w:vAlign w:val="center"/>
          </w:tcPr>
          <w:p w14:paraId="71C3E9F6">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669" w:type="pct"/>
            <w:shd w:val="clear" w:color="auto" w:fill="auto"/>
            <w:vAlign w:val="center"/>
          </w:tcPr>
          <w:p w14:paraId="3F8BC7EB">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35101570201052503924  </w:t>
            </w:r>
          </w:p>
        </w:tc>
        <w:tc>
          <w:tcPr>
            <w:tcW w:w="794" w:type="pct"/>
            <w:shd w:val="clear" w:color="auto" w:fill="auto"/>
            <w:vAlign w:val="center"/>
          </w:tcPr>
          <w:p w14:paraId="37FC5A02">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764" w:type="pct"/>
            <w:shd w:val="clear" w:color="auto" w:fill="auto"/>
            <w:vAlign w:val="center"/>
          </w:tcPr>
          <w:p w14:paraId="0040C277">
            <w:pPr>
              <w:keepNext w:val="0"/>
              <w:keepLines w:val="0"/>
              <w:widowControl w:val="0"/>
              <w:suppressLineNumbers w:val="0"/>
              <w:spacing w:before="0" w:beforeAutospacing="0" w:after="0" w:afterAutospacing="0" w:line="360" w:lineRule="auto"/>
              <w:ind w:left="0" w:right="0"/>
              <w:jc w:val="left"/>
              <w:rPr>
                <w:rFonts w:hint="eastAsia" w:ascii="宋体" w:hAnsi="宋体" w:eastAsia="宋体" w:cs="Times New Roman"/>
                <w:color w:val="auto"/>
                <w:kern w:val="0"/>
                <w:sz w:val="24"/>
                <w:szCs w:val="24"/>
                <w:highlight w:val="none"/>
              </w:rPr>
            </w:pPr>
            <w:bookmarkStart w:id="6" w:name="yfzh"/>
            <w:bookmarkEnd w:id="6"/>
          </w:p>
        </w:tc>
      </w:tr>
      <w:tr w14:paraId="44213F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771" w:type="pct"/>
            <w:shd w:val="clear" w:color="auto" w:fill="auto"/>
            <w:vAlign w:val="center"/>
          </w:tcPr>
          <w:p w14:paraId="72630E37">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669" w:type="pct"/>
            <w:shd w:val="clear" w:color="auto" w:fill="auto"/>
            <w:vAlign w:val="center"/>
          </w:tcPr>
          <w:p w14:paraId="55986FCB">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c>
          <w:tcPr>
            <w:tcW w:w="794" w:type="pct"/>
            <w:shd w:val="clear" w:color="auto" w:fill="auto"/>
            <w:vAlign w:val="center"/>
          </w:tcPr>
          <w:p w14:paraId="5A3725CA">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764" w:type="pct"/>
            <w:shd w:val="clear" w:color="auto" w:fill="auto"/>
            <w:vAlign w:val="center"/>
          </w:tcPr>
          <w:p w14:paraId="048219C5">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bl>
    <w:p w14:paraId="4C48D2AB">
      <w:pPr>
        <w:spacing w:line="360" w:lineRule="auto"/>
        <w:rPr>
          <w:rFonts w:hint="eastAsia" w:ascii="宋体" w:hAnsi="宋体" w:eastAsia="宋体" w:cs="宋体"/>
          <w:color w:val="auto"/>
          <w:sz w:val="24"/>
          <w:szCs w:val="24"/>
          <w:highlight w:val="none"/>
        </w:rPr>
      </w:pPr>
    </w:p>
    <w:p w14:paraId="4BD1ADC8">
      <w:pPr>
        <w:spacing w:line="360" w:lineRule="auto"/>
        <w:ind w:firstLine="600" w:firstLineChars="250"/>
        <w:rPr>
          <w:rFonts w:ascii="宋体" w:hAnsi="宋体" w:cs="宋体"/>
          <w:color w:val="auto"/>
          <w:sz w:val="24"/>
          <w:szCs w:val="24"/>
          <w:highlight w:val="none"/>
        </w:rPr>
      </w:pPr>
    </w:p>
    <w:p w14:paraId="3EFE37C8">
      <w:pPr>
        <w:keepNext w:val="0"/>
        <w:keepLines w:val="0"/>
        <w:widowControl/>
        <w:suppressLineNumbers w:val="0"/>
        <w:ind w:left="-850" w:leftChars="-405"/>
        <w:rPr>
          <w:rFonts w:hint="default" w:ascii="宋体" w:hAnsi="宋体" w:cs="宋体"/>
          <w:color w:val="auto"/>
          <w:sz w:val="24"/>
          <w:szCs w:val="24"/>
          <w:highlight w:val="none"/>
        </w:rPr>
      </w:pPr>
    </w:p>
    <w:p w14:paraId="65877B9E">
      <w:pPr>
        <w:keepNext w:val="0"/>
        <w:keepLines w:val="0"/>
        <w:widowControl/>
        <w:suppressLineNumbers w:val="0"/>
        <w:ind w:left="-850" w:leftChars="-405"/>
        <w:rPr>
          <w:rFonts w:hint="default" w:ascii="宋体" w:hAnsi="宋体" w:cs="宋体"/>
          <w:color w:val="auto"/>
          <w:sz w:val="24"/>
          <w:szCs w:val="24"/>
          <w:highlight w:val="none"/>
        </w:rPr>
        <w:sectPr>
          <w:footerReference r:id="rId10"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7D83CDC1">
      <w:pPr>
        <w:keepNext w:val="0"/>
        <w:keepLines w:val="0"/>
        <w:widowControl/>
        <w:suppressLineNumbers w:val="0"/>
        <w:ind w:left="-850" w:leftChars="-405"/>
        <w:rPr>
          <w:rFonts w:hint="eastAsia" w:ascii="宋体" w:hAnsi="宋体" w:eastAsia="宋体" w:cs="宋体"/>
          <w:color w:val="auto"/>
          <w:kern w:val="2"/>
          <w:sz w:val="24"/>
          <w:szCs w:val="24"/>
          <w:highlight w:val="none"/>
        </w:rPr>
      </w:pPr>
      <w:r>
        <w:rPr>
          <w:rFonts w:hint="default" w:ascii="宋体" w:hAnsi="宋体" w:cs="宋体"/>
          <w:color w:val="auto"/>
          <w:sz w:val="24"/>
          <w:szCs w:val="24"/>
          <w:highlight w:val="none"/>
        </w:rPr>
        <w:t>附件1：</w:t>
      </w:r>
      <w:r>
        <w:rPr>
          <w:rFonts w:hint="default" w:ascii="宋体" w:hAnsi="宋体" w:eastAsia="宋体" w:cs="宋体"/>
          <w:b w:val="0"/>
          <w:bCs w:val="0"/>
          <w:color w:val="auto"/>
          <w:kern w:val="2"/>
          <w:sz w:val="24"/>
          <w:szCs w:val="24"/>
          <w:highlight w:val="none"/>
        </w:rPr>
        <w:t>供货清单</w:t>
      </w:r>
    </w:p>
    <w:p w14:paraId="6A2ED3DA">
      <w:pPr>
        <w:pStyle w:val="9"/>
        <w:keepNext w:val="0"/>
        <w:keepLines w:val="0"/>
        <w:widowControl w:val="0"/>
        <w:suppressLineNumbers w:val="0"/>
        <w:spacing w:before="0" w:beforeAutospacing="0" w:after="0" w:afterAutospacing="0"/>
        <w:ind w:left="0" w:right="0"/>
        <w:jc w:val="both"/>
        <w:textAlignment w:val="baseline"/>
        <w:rPr>
          <w:rFonts w:hint="default" w:ascii="宋体" w:hAnsi="宋体" w:eastAsia="等线" w:cs="宋体"/>
          <w:color w:val="auto"/>
          <w:kern w:val="2"/>
          <w:sz w:val="24"/>
          <w:szCs w:val="24"/>
          <w:highlight w:val="none"/>
        </w:rPr>
      </w:pPr>
      <w:r>
        <w:rPr>
          <w:rFonts w:hint="default" w:ascii="宋体" w:hAnsi="宋体" w:eastAsia="等线" w:cs="宋体"/>
          <w:color w:val="auto"/>
          <w:kern w:val="2"/>
          <w:sz w:val="24"/>
          <w:szCs w:val="24"/>
          <w:highlight w:val="none"/>
          <w:lang w:val="en-US" w:eastAsia="zh-CN" w:bidi="ar"/>
        </w:rPr>
        <w:t xml:space="preserve"> </w:t>
      </w:r>
    </w:p>
    <w:tbl>
      <w:tblPr>
        <w:tblStyle w:val="1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14:paraId="2E35B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5E80CEC">
            <w:pPr>
              <w:pStyle w:val="18"/>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B536D02">
            <w:pPr>
              <w:pStyle w:val="18"/>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名</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 xml:space="preserve"> 称</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972B3A3">
            <w:pPr>
              <w:pStyle w:val="18"/>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数量</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6587169">
            <w:pPr>
              <w:pStyle w:val="18"/>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992D39C">
            <w:pPr>
              <w:pStyle w:val="18"/>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制造商</w:t>
            </w: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B9F66AD">
            <w:pPr>
              <w:pStyle w:val="18"/>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规 格</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型</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号</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EE69A4A">
            <w:pPr>
              <w:pStyle w:val="18"/>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shd w:val="clear" w:color="auto" w:fill="auto"/>
            <w:vAlign w:val="top"/>
          </w:tcPr>
          <w:p w14:paraId="70C413A4">
            <w:pPr>
              <w:pStyle w:val="18"/>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金额（元）</w:t>
            </w:r>
          </w:p>
        </w:tc>
      </w:tr>
      <w:tr w14:paraId="1F69C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F59926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A86DC3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926403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20E9E7A">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59EB195">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CB8BB2D">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7F5E315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D2E5882">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7D2C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F9D249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741E8A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AE5672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1EE38F4">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AC9FB5D">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8ADA507">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27F7A5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A24887E">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89F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5BCAE0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9D118D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1FC564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6505A29D">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732E025">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5C4C50B">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B40223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01A8DA1">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6CF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4D75CF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5E7CD8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710FCF0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E31043B">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50D1CE3">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4EEDAE5">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282CB1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40E370A">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87A7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880C72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6A0154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7AB40CF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21EC7E6">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ADBE735">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0FAF8E3">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D29B5A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46449FA7">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E5CB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1E9B87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0EF3A8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51658F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A7EBACE">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0C3B664">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17432B0">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B6A026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309AF78">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9C50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76694F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9A4AD8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B053BA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31242B3">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D8155AA">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DBE4416">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9B7A32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6CDAFFD">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CD1C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A51250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77BA4A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839D86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57FEF80">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C5987AC">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BACD6AE">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65F5EE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40167FC">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D27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3BF9CF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CBE0AB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0A1FA5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1517F78">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050ADF2">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5EE7B85">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8C62AB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347D21F">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3C25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B24A7E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2ADAD9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1AC9B3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942AD12">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CF245BC">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4F4EC1F">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1AF4C7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C283CA3">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4379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44F1EB7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951ECE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C07966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160526F">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6F292AB6">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B95CFC0">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2AC0D5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20D5565">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8724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1B1CCB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5B943A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BD9A5D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07AE12D">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EA38B92">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5550A23">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3E01E5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4F468E0">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CF61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A524FF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8AAC8B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542CA5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603D976">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20F07FB">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E66CFDC">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ADD86A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416A7696">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E4EF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5B5F1B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C92C67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ACD6A2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8F2E054">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8070D14">
            <w:pPr>
              <w:pStyle w:val="18"/>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EEBF6A3">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C51172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58DB2F4">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6DCF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4DB0D701">
            <w:pPr>
              <w:keepNext w:val="0"/>
              <w:keepLines w:val="0"/>
              <w:widowControl w:val="0"/>
              <w:suppressLineNumbers w:val="0"/>
              <w:spacing w:before="0" w:beforeAutospacing="0" w:after="0" w:afterAutospacing="0" w:line="460" w:lineRule="exact"/>
              <w:ind w:left="0" w:right="0"/>
              <w:jc w:val="both"/>
              <w:rPr>
                <w:rFonts w:hint="default" w:ascii="华文楷体" w:hAnsi="华文楷体" w:eastAsia="华文楷体" w:cs="华文楷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lang w:val="en-US" w:eastAsia="zh-CN" w:bidi="ar"/>
              </w:rPr>
              <w:t>合计（元）：</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1B540E7">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FCC1F6E">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r>
    </w:tbl>
    <w:p w14:paraId="536A88DD">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2"/>
          <w:sz w:val="24"/>
          <w:szCs w:val="24"/>
          <w:highlight w:val="none"/>
        </w:rPr>
      </w:pPr>
    </w:p>
    <w:p w14:paraId="6A201557">
      <w:pPr>
        <w:spacing w:line="360" w:lineRule="auto"/>
        <w:rPr>
          <w:rFonts w:hint="default" w:ascii="宋体" w:hAnsi="宋体" w:cs="宋体"/>
          <w:color w:val="auto"/>
          <w:sz w:val="24"/>
          <w:szCs w:val="24"/>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209D6438">
      <w:pPr>
        <w:spacing w:line="360" w:lineRule="auto"/>
        <w:rPr>
          <w:rFonts w:hint="default" w:ascii="宋体" w:hAnsi="宋体" w:cs="宋体"/>
          <w:color w:val="auto"/>
          <w:sz w:val="24"/>
          <w:szCs w:val="24"/>
          <w:highlight w:val="none"/>
        </w:rPr>
      </w:pPr>
      <w:r>
        <w:rPr>
          <w:rFonts w:hint="default" w:ascii="宋体" w:hAnsi="宋体" w:cs="宋体"/>
          <w:color w:val="auto"/>
          <w:sz w:val="24"/>
          <w:szCs w:val="24"/>
          <w:highlight w:val="none"/>
        </w:rPr>
        <w:t>附件2：</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p>
    <w:p w14:paraId="3A5F7832">
      <w:pPr>
        <w:spacing w:line="360" w:lineRule="auto"/>
        <w:rPr>
          <w:rFonts w:ascii="宋体" w:hAnsi="宋体" w:cs="宋体"/>
          <w:color w:val="auto"/>
          <w:sz w:val="24"/>
          <w:szCs w:val="24"/>
          <w:highlight w:val="none"/>
        </w:rPr>
      </w:pPr>
      <w:r>
        <w:rPr>
          <w:rFonts w:hint="default" w:ascii="宋体" w:hAnsi="宋体" w:eastAsia="宋体" w:cs="宋体"/>
          <w:b/>
          <w:bCs/>
          <w:color w:val="auto"/>
          <w:sz w:val="24"/>
          <w:szCs w:val="24"/>
          <w:highlight w:val="none"/>
        </w:rPr>
        <w:drawing>
          <wp:inline distT="0" distB="0" distL="114300" distR="114300">
            <wp:extent cx="5271770" cy="7526655"/>
            <wp:effectExtent l="0" t="0" r="508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5271770" cy="7526655"/>
                    </a:xfrm>
                    <a:prstGeom prst="rect">
                      <a:avLst/>
                    </a:prstGeom>
                  </pic:spPr>
                </pic:pic>
              </a:graphicData>
            </a:graphic>
          </wp:inline>
        </w:drawing>
      </w:r>
    </w:p>
    <w:p w14:paraId="738B34E6">
      <w:pPr>
        <w:spacing w:line="360" w:lineRule="auto"/>
        <w:jc w:val="center"/>
        <w:rPr>
          <w:rFonts w:ascii="宋体" w:hAnsi="宋体" w:cs="宋体"/>
          <w:b/>
          <w:bCs/>
          <w:color w:val="auto"/>
          <w:sz w:val="24"/>
          <w:szCs w:val="24"/>
          <w:highlight w:val="none"/>
        </w:rPr>
      </w:pPr>
    </w:p>
    <w:p w14:paraId="58EB4703">
      <w:pPr>
        <w:spacing w:line="360" w:lineRule="auto"/>
        <w:rPr>
          <w:rFonts w:ascii="宋体" w:hAnsi="宋体" w:cs="宋体"/>
          <w:color w:val="auto"/>
          <w:sz w:val="24"/>
          <w:szCs w:val="24"/>
          <w:highlight w:val="none"/>
        </w:rPr>
      </w:pPr>
    </w:p>
    <w:p w14:paraId="6910F608">
      <w:pPr>
        <w:spacing w:line="360" w:lineRule="auto"/>
        <w:ind w:firstLine="2891" w:firstLineChars="1200"/>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w:t>
      </w:r>
      <w:r>
        <w:rPr>
          <w:rFonts w:hint="default" w:ascii="宋体" w:hAnsi="宋体" w:cs="宋体"/>
          <w:b/>
          <w:bCs/>
          <w:color w:val="auto"/>
          <w:sz w:val="24"/>
          <w:szCs w:val="24"/>
          <w:highlight w:val="none"/>
          <w:lang w:eastAsia="zh-CN"/>
        </w:rPr>
        <w:t xml:space="preserve"> </w:t>
      </w:r>
      <w:r>
        <w:rPr>
          <w:rFonts w:hint="eastAsia" w:ascii="宋体" w:hAnsi="宋体" w:cs="宋体"/>
          <w:b/>
          <w:bCs/>
          <w:color w:val="auto"/>
          <w:sz w:val="24"/>
          <w:szCs w:val="24"/>
          <w:highlight w:val="none"/>
        </w:rPr>
        <w:t>—DZ0买卖合同</w:t>
      </w:r>
    </w:p>
    <w:p w14:paraId="59714C9E">
      <w:pPr>
        <w:spacing w:line="360" w:lineRule="auto"/>
        <w:ind w:right="480"/>
        <w:jc w:val="center"/>
        <w:rPr>
          <w:rFonts w:ascii="宋体" w:hAnsi="宋体" w:cs="宋体"/>
          <w:color w:val="auto"/>
          <w:sz w:val="24"/>
          <w:szCs w:val="24"/>
          <w:highlight w:val="none"/>
        </w:rPr>
      </w:pPr>
    </w:p>
    <w:p w14:paraId="61E0EF4F">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6EF7730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买方： </w:t>
      </w:r>
    </w:p>
    <w:p w14:paraId="40189D3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2D37E30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买方委托卖方采购家具，</w:t>
      </w:r>
      <w:r>
        <w:rPr>
          <w:rFonts w:hint="eastAsia" w:ascii="宋体" w:hAnsi="宋体" w:cs="宋体"/>
          <w:color w:val="auto"/>
          <w:sz w:val="24"/>
          <w:szCs w:val="24"/>
          <w:highlight w:val="none"/>
        </w:rPr>
        <w:t>现根据项目编号:</w:t>
      </w:r>
      <w:r>
        <w:rPr>
          <w:rFonts w:hint="eastAsia" w:ascii="宋体" w:hAnsi="宋体" w:cs="宋体"/>
          <w:color w:val="auto"/>
          <w:sz w:val="24"/>
          <w:szCs w:val="24"/>
          <w:highlight w:val="none"/>
          <w:u w:val="single"/>
          <w:lang w:eastAsia="zh-CN"/>
        </w:rPr>
        <w:t>XM202</w:t>
      </w:r>
      <w:r>
        <w:rPr>
          <w:rFonts w:hint="default" w:ascii="宋体" w:hAnsi="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rPr>
        <w:t>-DZ0</w:t>
      </w:r>
      <w:r>
        <w:rPr>
          <w:rFonts w:hint="eastAsia" w:ascii="宋体" w:hAnsi="宋体" w:cs="宋体"/>
          <w:color w:val="auto"/>
          <w:sz w:val="24"/>
          <w:szCs w:val="24"/>
          <w:highlight w:val="none"/>
        </w:rPr>
        <w:t>的招标（采购）文件、投标（报价）文件以及评审结果通知书（中标/成交供应商为：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），买卖双方经协商一致，就卖方将从中标/成交供应商处采购的货物出售给买方、并约定由中标/成交供应商直接向买方履行安装及售后服务等义务，特制定本合同，以资共同遵守：</w:t>
      </w:r>
    </w:p>
    <w:p w14:paraId="15E6DC16">
      <w:pPr>
        <w:tabs>
          <w:tab w:val="left" w:pos="315"/>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11"/>
        <w:tblW w:w="8365" w:type="dxa"/>
        <w:tblInd w:w="103" w:type="dxa"/>
        <w:tblLayout w:type="fixed"/>
        <w:tblCellMar>
          <w:top w:w="0" w:type="dxa"/>
          <w:left w:w="108" w:type="dxa"/>
          <w:bottom w:w="0" w:type="dxa"/>
          <w:right w:w="108" w:type="dxa"/>
        </w:tblCellMar>
      </w:tblPr>
      <w:tblGrid>
        <w:gridCol w:w="1281"/>
        <w:gridCol w:w="2268"/>
        <w:gridCol w:w="1817"/>
        <w:gridCol w:w="1338"/>
        <w:gridCol w:w="1661"/>
      </w:tblGrid>
      <w:tr w14:paraId="1161C2C3">
        <w:tblPrEx>
          <w:tblCellMar>
            <w:top w:w="0" w:type="dxa"/>
            <w:left w:w="108" w:type="dxa"/>
            <w:bottom w:w="0" w:type="dxa"/>
            <w:right w:w="108" w:type="dxa"/>
          </w:tblCellMar>
        </w:tblPrEx>
        <w:trPr>
          <w:trHeight w:val="615" w:hRule="atLeast"/>
        </w:trPr>
        <w:tc>
          <w:tcPr>
            <w:tcW w:w="1281" w:type="dxa"/>
            <w:tcBorders>
              <w:top w:val="single" w:color="auto" w:sz="4" w:space="0"/>
              <w:left w:val="single" w:color="auto" w:sz="4" w:space="0"/>
              <w:bottom w:val="single" w:color="auto" w:sz="4" w:space="0"/>
              <w:right w:val="single" w:color="auto" w:sz="4" w:space="0"/>
            </w:tcBorders>
            <w:vAlign w:val="center"/>
          </w:tcPr>
          <w:p w14:paraId="33A4C7BD">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68" w:type="dxa"/>
            <w:tcBorders>
              <w:top w:val="single" w:color="auto" w:sz="4" w:space="0"/>
              <w:left w:val="nil"/>
              <w:bottom w:val="single" w:color="auto" w:sz="4" w:space="0"/>
              <w:right w:val="single" w:color="auto" w:sz="4" w:space="0"/>
            </w:tcBorders>
            <w:vAlign w:val="center"/>
          </w:tcPr>
          <w:p w14:paraId="564B960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17" w:type="dxa"/>
            <w:tcBorders>
              <w:top w:val="single" w:color="auto" w:sz="4" w:space="0"/>
              <w:left w:val="nil"/>
              <w:bottom w:val="single" w:color="auto" w:sz="4" w:space="0"/>
              <w:right w:val="single" w:color="auto" w:sz="4" w:space="0"/>
            </w:tcBorders>
            <w:vAlign w:val="center"/>
          </w:tcPr>
          <w:p w14:paraId="455F364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338" w:type="dxa"/>
            <w:tcBorders>
              <w:top w:val="single" w:color="auto" w:sz="4" w:space="0"/>
              <w:left w:val="nil"/>
              <w:bottom w:val="single" w:color="auto" w:sz="4" w:space="0"/>
              <w:right w:val="single" w:color="auto" w:sz="4" w:space="0"/>
            </w:tcBorders>
            <w:vAlign w:val="center"/>
          </w:tcPr>
          <w:p w14:paraId="67D6B97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661" w:type="dxa"/>
            <w:tcBorders>
              <w:top w:val="single" w:color="auto" w:sz="4" w:space="0"/>
              <w:left w:val="nil"/>
              <w:bottom w:val="single" w:color="auto" w:sz="4" w:space="0"/>
              <w:right w:val="single" w:color="auto" w:sz="4" w:space="0"/>
            </w:tcBorders>
            <w:vAlign w:val="center"/>
          </w:tcPr>
          <w:p w14:paraId="2290252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w:t>
            </w:r>
          </w:p>
        </w:tc>
      </w:tr>
      <w:tr w14:paraId="333212AB">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vAlign w:val="center"/>
          </w:tcPr>
          <w:p w14:paraId="371AEFB1">
            <w:pPr>
              <w:keepNext w:val="0"/>
              <w:keepLines w:val="0"/>
              <w:widowControl/>
              <w:suppressLineNumbers w:val="0"/>
              <w:spacing w:before="0" w:beforeAutospacing="0" w:after="0" w:afterAutospacing="0" w:line="360" w:lineRule="auto"/>
              <w:ind w:left="0" w:right="0" w:firstLine="240" w:firstLineChars="1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68" w:type="dxa"/>
            <w:tcBorders>
              <w:top w:val="nil"/>
              <w:left w:val="nil"/>
              <w:bottom w:val="single" w:color="auto" w:sz="4" w:space="0"/>
              <w:right w:val="single" w:color="auto" w:sz="4" w:space="0"/>
            </w:tcBorders>
            <w:vAlign w:val="center"/>
          </w:tcPr>
          <w:p w14:paraId="0D58DFFF">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p>
        </w:tc>
        <w:tc>
          <w:tcPr>
            <w:tcW w:w="1817" w:type="dxa"/>
            <w:tcBorders>
              <w:top w:val="nil"/>
              <w:left w:val="single" w:color="auto" w:sz="4" w:space="0"/>
              <w:bottom w:val="single" w:color="auto" w:sz="4" w:space="0"/>
              <w:right w:val="single" w:color="auto" w:sz="4" w:space="0"/>
            </w:tcBorders>
            <w:vAlign w:val="center"/>
          </w:tcPr>
          <w:p w14:paraId="7D0B94B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338" w:type="dxa"/>
            <w:tcBorders>
              <w:top w:val="nil"/>
              <w:left w:val="nil"/>
              <w:bottom w:val="single" w:color="auto" w:sz="4" w:space="0"/>
              <w:right w:val="single" w:color="auto" w:sz="4" w:space="0"/>
            </w:tcBorders>
            <w:vAlign w:val="center"/>
          </w:tcPr>
          <w:p w14:paraId="4779AF0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1批（详见附件：价格清单）</w:t>
            </w:r>
          </w:p>
        </w:tc>
        <w:tc>
          <w:tcPr>
            <w:tcW w:w="1661" w:type="dxa"/>
            <w:tcBorders>
              <w:top w:val="nil"/>
              <w:left w:val="nil"/>
              <w:bottom w:val="single" w:color="auto" w:sz="4" w:space="0"/>
              <w:right w:val="single" w:color="auto" w:sz="4" w:space="0"/>
            </w:tcBorders>
            <w:vAlign w:val="center"/>
          </w:tcPr>
          <w:p w14:paraId="59403D7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p>
        </w:tc>
      </w:tr>
      <w:tr w14:paraId="38F5A015">
        <w:tblPrEx>
          <w:tblCellMar>
            <w:top w:w="0" w:type="dxa"/>
            <w:left w:w="108" w:type="dxa"/>
            <w:bottom w:w="0" w:type="dxa"/>
            <w:right w:w="108" w:type="dxa"/>
          </w:tblCellMar>
        </w:tblPrEx>
        <w:trPr>
          <w:trHeight w:val="540" w:hRule="atLeast"/>
        </w:trPr>
        <w:tc>
          <w:tcPr>
            <w:tcW w:w="8365" w:type="dxa"/>
            <w:gridSpan w:val="5"/>
            <w:tcBorders>
              <w:top w:val="single" w:color="auto" w:sz="4" w:space="0"/>
              <w:left w:val="single" w:color="auto" w:sz="4" w:space="0"/>
              <w:bottom w:val="single" w:color="auto" w:sz="4" w:space="0"/>
              <w:right w:val="single" w:color="000000" w:sz="4" w:space="0"/>
            </w:tcBorders>
            <w:vAlign w:val="center"/>
          </w:tcPr>
          <w:p w14:paraId="0F7F4478">
            <w:pPr>
              <w:keepNext w:val="0"/>
              <w:keepLines w:val="0"/>
              <w:widowControl/>
              <w:suppressLineNumbers w:val="0"/>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b/>
                <w:bCs/>
                <w:color w:val="auto"/>
                <w:kern w:val="0"/>
                <w:sz w:val="24"/>
                <w:szCs w:val="24"/>
                <w:highlight w:val="none"/>
              </w:rPr>
              <w:t>合同总价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中标总价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w:t>
            </w:r>
            <w:r>
              <w:rPr>
                <w:rFonts w:hint="eastAsia" w:ascii="宋体" w:hAnsi="宋体" w:cs="宋体"/>
                <w:b/>
                <w:bCs/>
                <w:color w:val="auto"/>
                <w:sz w:val="24"/>
                <w:szCs w:val="24"/>
                <w:highlight w:val="none"/>
                <w:lang w:val="en-US" w:eastAsia="zh-CN"/>
              </w:rPr>
              <w:t>人民币</w:t>
            </w:r>
            <w:r>
              <w:rPr>
                <w:rFonts w:hint="eastAsia" w:ascii="宋体" w:hAnsi="宋体" w:cs="宋体"/>
                <w:b/>
                <w:bCs/>
                <w:color w:val="auto"/>
                <w:sz w:val="24"/>
                <w:szCs w:val="24"/>
                <w:highlight w:val="none"/>
                <w:u w:val="single"/>
                <w:lang w:val="en-US" w:eastAsia="zh-CN"/>
              </w:rPr>
              <w:t xml:space="preserve">        </w:t>
            </w:r>
            <w:r>
              <w:rPr>
                <w:rFonts w:hint="eastAsia" w:ascii="宋体" w:hAnsi="宋体" w:cs="宋体"/>
                <w:b/>
                <w:bCs/>
                <w:color w:val="auto"/>
                <w:kern w:val="0"/>
                <w:sz w:val="24"/>
                <w:szCs w:val="24"/>
                <w:highlight w:val="none"/>
              </w:rPr>
              <w:t>元整</w:t>
            </w:r>
            <w:r>
              <w:rPr>
                <w:rFonts w:hint="eastAsia" w:ascii="宋体" w:hAnsi="宋体" w:cs="宋体"/>
                <w:bCs/>
                <w:color w:val="auto"/>
                <w:sz w:val="24"/>
                <w:szCs w:val="24"/>
                <w:highlight w:val="none"/>
              </w:rPr>
              <w:t>。货物验收完成后的保修等售后服务由买方与</w:t>
            </w:r>
            <w:r>
              <w:rPr>
                <w:rFonts w:hint="eastAsia" w:ascii="宋体" w:hAnsi="宋体" w:cs="宋体"/>
                <w:color w:val="auto"/>
                <w:sz w:val="24"/>
                <w:szCs w:val="24"/>
                <w:highlight w:val="none"/>
              </w:rPr>
              <w:t>中标/成交</w:t>
            </w:r>
            <w:r>
              <w:rPr>
                <w:rFonts w:hint="eastAsia" w:ascii="宋体" w:hAnsi="宋体" w:cs="宋体"/>
                <w:bCs/>
                <w:color w:val="auto"/>
                <w:sz w:val="24"/>
                <w:szCs w:val="24"/>
                <w:highlight w:val="none"/>
              </w:rPr>
              <w:t>供应商另行签订服务合同单独约定</w:t>
            </w:r>
            <w:r>
              <w:rPr>
                <w:rFonts w:hint="eastAsia" w:ascii="宋体" w:hAnsi="宋体" w:cs="宋体"/>
                <w:bCs/>
                <w:color w:val="auto"/>
                <w:kern w:val="0"/>
                <w:sz w:val="24"/>
                <w:szCs w:val="24"/>
                <w:highlight w:val="none"/>
              </w:rPr>
              <w:t>，与本合同各自独立履行、互不影响。</w:t>
            </w:r>
          </w:p>
        </w:tc>
      </w:tr>
    </w:tbl>
    <w:p w14:paraId="0DC3916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4DE9B49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2.1交货期：合同签订之日起</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个日历日内（含交货、安装并验收合格交付使用）。</w:t>
      </w:r>
    </w:p>
    <w:p w14:paraId="5ADC2F3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14:paraId="0DC79D05">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2.3到货签收：</w:t>
      </w:r>
      <w:r>
        <w:rPr>
          <w:rFonts w:hint="eastAsia" w:ascii="宋体" w:hAnsi="宋体" w:eastAsia="宋体" w:cs="宋体"/>
          <w:color w:val="auto"/>
          <w:kern w:val="2"/>
          <w:sz w:val="24"/>
          <w:szCs w:val="24"/>
          <w:highlight w:val="none"/>
          <w:lang w:val="en-US" w:eastAsia="zh-CN" w:bidi="ar"/>
        </w:rPr>
        <w:t>合同标的物由中标/成交供应商根据买方要求送货至买方指定地点，不经过卖方仓库。中标/成交供应商</w:t>
      </w:r>
      <w:r>
        <w:rPr>
          <w:rFonts w:hint="eastAsia" w:ascii="宋体" w:hAnsi="宋体" w:cs="宋体"/>
          <w:color w:val="auto"/>
          <w:sz w:val="24"/>
          <w:szCs w:val="24"/>
          <w:highlight w:val="none"/>
        </w:rPr>
        <w:t>每批次供货到买方指定地点后，买方应当对到货数量、型号等进行清点签收</w:t>
      </w:r>
      <w:r>
        <w:rPr>
          <w:rFonts w:hint="default" w:ascii="宋体" w:hAnsi="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
        </w:rPr>
        <w:t>如买方拒绝签收，则中标/成交供应商有权拒绝交货；除疫情、自然灾害等不可抗力因素外，中标/成交供应商已交货但买方未签收的</w:t>
      </w:r>
      <w:r>
        <w:rPr>
          <w:rFonts w:hint="default" w:ascii="宋体" w:hAnsi="宋体" w:eastAsia="宋体" w:cs="宋体"/>
          <w:color w:val="auto"/>
          <w:kern w:val="2"/>
          <w:sz w:val="24"/>
          <w:szCs w:val="24"/>
          <w:highlight w:val="none"/>
          <w:lang w:eastAsia="zh-CN" w:bidi="ar"/>
        </w:rPr>
        <w:t>，</w:t>
      </w:r>
      <w:r>
        <w:rPr>
          <w:rFonts w:hint="eastAsia" w:ascii="宋体" w:hAnsi="宋体" w:cs="宋体"/>
          <w:color w:val="auto"/>
          <w:sz w:val="24"/>
          <w:szCs w:val="24"/>
          <w:highlight w:val="none"/>
        </w:rPr>
        <w:t>买方应按第</w:t>
      </w:r>
      <w:r>
        <w:rPr>
          <w:rFonts w:hint="eastAsia" w:ascii="宋体" w:hAnsi="宋体" w:eastAsia="宋体" w:cs="宋体"/>
          <w:color w:val="auto"/>
          <w:kern w:val="2"/>
          <w:sz w:val="24"/>
          <w:szCs w:val="24"/>
          <w:highlight w:val="none"/>
          <w:lang w:val="en-US" w:eastAsia="zh-CN" w:bidi="ar"/>
        </w:rPr>
        <w:t>3条确定验收时间并按照第</w:t>
      </w:r>
      <w:r>
        <w:rPr>
          <w:rFonts w:hint="eastAsia" w:ascii="宋体" w:hAnsi="宋体" w:cs="宋体"/>
          <w:color w:val="auto"/>
          <w:sz w:val="24"/>
          <w:szCs w:val="24"/>
          <w:highlight w:val="none"/>
        </w:rPr>
        <w:t>4条约定的付款条件向卖方支付约定的货款。</w:t>
      </w:r>
    </w:p>
    <w:p w14:paraId="450EDC81">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3、验收</w:t>
      </w:r>
    </w:p>
    <w:p w14:paraId="0DBA44B8">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14:paraId="4CDD194C">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3.2安装工作完成后，买方负责对合同货物进行验收。买方验收合格即视为最终验收合格；若无正当理由，</w:t>
      </w:r>
      <w:r>
        <w:rPr>
          <w:rFonts w:hint="eastAsia" w:ascii="宋体" w:hAnsi="宋体" w:eastAsia="宋体" w:cs="宋体"/>
          <w:color w:val="auto"/>
          <w:kern w:val="2"/>
          <w:sz w:val="24"/>
          <w:szCs w:val="24"/>
          <w:highlight w:val="none"/>
          <w:lang w:val="en-US" w:eastAsia="zh-CN" w:bidi="ar"/>
        </w:rPr>
        <w:t>到货超过30日或安装后买方超过30日</w:t>
      </w:r>
      <w:r>
        <w:rPr>
          <w:rFonts w:hint="eastAsia" w:ascii="宋体" w:hAnsi="宋体" w:cs="宋体"/>
          <w:color w:val="auto"/>
          <w:sz w:val="24"/>
          <w:szCs w:val="24"/>
          <w:highlight w:val="none"/>
        </w:rPr>
        <w:t>仍未验收且未提出书面异议的，则</w:t>
      </w:r>
      <w:r>
        <w:rPr>
          <w:rFonts w:hint="eastAsia" w:ascii="宋体" w:hAnsi="宋体" w:eastAsia="宋体" w:cs="宋体"/>
          <w:color w:val="auto"/>
          <w:kern w:val="2"/>
          <w:sz w:val="24"/>
          <w:szCs w:val="24"/>
          <w:highlight w:val="none"/>
          <w:lang w:val="en-US" w:eastAsia="zh-CN" w:bidi="ar"/>
        </w:rPr>
        <w:t>自前述期限届满之次日</w:t>
      </w:r>
      <w:r>
        <w:rPr>
          <w:rFonts w:hint="eastAsia" w:ascii="宋体" w:hAnsi="宋体" w:cs="宋体"/>
          <w:color w:val="auto"/>
          <w:sz w:val="24"/>
          <w:szCs w:val="24"/>
          <w:highlight w:val="none"/>
        </w:rPr>
        <w:t>视为</w:t>
      </w:r>
      <w:r>
        <w:rPr>
          <w:rFonts w:hint="eastAsia" w:ascii="宋体" w:hAnsi="宋体" w:eastAsia="宋体" w:cs="宋体"/>
          <w:color w:val="auto"/>
          <w:kern w:val="2"/>
          <w:sz w:val="24"/>
          <w:szCs w:val="24"/>
          <w:highlight w:val="none"/>
          <w:lang w:val="en-US" w:eastAsia="zh-CN" w:bidi="ar"/>
        </w:rPr>
        <w:t>中标/成交供应商已交货的货物</w:t>
      </w:r>
      <w:r>
        <w:rPr>
          <w:rFonts w:hint="eastAsia" w:ascii="宋体" w:hAnsi="宋体" w:cs="宋体"/>
          <w:color w:val="auto"/>
          <w:sz w:val="24"/>
          <w:szCs w:val="24"/>
          <w:highlight w:val="none"/>
        </w:rPr>
        <w:t>最终验收合格。</w:t>
      </w:r>
    </w:p>
    <w:p w14:paraId="71053525">
      <w:pPr>
        <w:keepNext w:val="0"/>
        <w:keepLines w:val="0"/>
        <w:widowControl/>
        <w:suppressLineNumbers w:val="0"/>
        <w:spacing w:before="0" w:beforeAutospacing="0" w:after="0" w:afterAutospacing="0" w:line="360" w:lineRule="auto"/>
        <w:ind w:left="0" w:right="0" w:firstLine="240"/>
        <w:jc w:val="both"/>
        <w:rPr>
          <w:rFonts w:ascii="宋体" w:hAnsi="宋体" w:cs="宋体"/>
          <w:color w:val="auto"/>
          <w:sz w:val="24"/>
          <w:highlight w:val="none"/>
        </w:rPr>
      </w:pPr>
      <w:r>
        <w:rPr>
          <w:rFonts w:hint="eastAsia" w:ascii="宋体" w:hAnsi="宋体" w:cs="宋体"/>
          <w:color w:val="auto"/>
          <w:sz w:val="24"/>
          <w:highlight w:val="none"/>
          <w:lang w:val="en-US"/>
        </w:rPr>
        <w:t xml:space="preserve"> 3.3</w:t>
      </w:r>
      <w:r>
        <w:rPr>
          <w:rFonts w:hint="eastAsia" w:ascii="宋体" w:hAnsi="宋体" w:cs="宋体"/>
          <w:color w:val="auto"/>
          <w:sz w:val="24"/>
          <w:highlight w:val="none"/>
        </w:rPr>
        <w:t>买方在货物安装完毕后发现货物存在问题的，应在货物交付后</w:t>
      </w:r>
      <w:r>
        <w:rPr>
          <w:rFonts w:hint="default" w:ascii="宋体" w:hAnsi="宋体" w:cs="宋体"/>
          <w:color w:val="auto"/>
          <w:sz w:val="24"/>
          <w:highlight w:val="none"/>
        </w:rPr>
        <w:t>30</w:t>
      </w:r>
      <w:r>
        <w:rPr>
          <w:rFonts w:hint="eastAsia" w:ascii="宋体" w:hAnsi="宋体" w:cs="宋体"/>
          <w:color w:val="auto"/>
          <w:sz w:val="24"/>
          <w:highlight w:val="none"/>
        </w:rPr>
        <w:t>日内向卖方提出书面异议，逾期提出书面异议的，</w:t>
      </w:r>
      <w:r>
        <w:rPr>
          <w:rFonts w:hint="eastAsia" w:ascii="宋体" w:hAnsi="宋体" w:eastAsia="宋体" w:cs="宋体"/>
          <w:b w:val="0"/>
          <w:bCs w:val="0"/>
          <w:color w:val="auto"/>
          <w:kern w:val="2"/>
          <w:sz w:val="24"/>
          <w:szCs w:val="24"/>
          <w:highlight w:val="none"/>
          <w:lang w:val="en-US" w:eastAsia="zh-CN" w:bidi="ar"/>
        </w:rPr>
        <w:t>自前述期限届满之次日</w:t>
      </w:r>
      <w:r>
        <w:rPr>
          <w:rFonts w:hint="eastAsia" w:ascii="宋体" w:hAnsi="宋体" w:cs="宋体"/>
          <w:color w:val="auto"/>
          <w:sz w:val="24"/>
          <w:highlight w:val="none"/>
        </w:rPr>
        <w:t>视为最终验收合格。</w:t>
      </w:r>
    </w:p>
    <w:p w14:paraId="5B68824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3.4最终验收时，买方填写《</w:t>
      </w:r>
      <w:r>
        <w:rPr>
          <w:rFonts w:hint="eastAsia" w:ascii="宋体" w:hAnsi="宋体" w:cs="宋体"/>
          <w:color w:val="auto"/>
          <w:sz w:val="24"/>
          <w:szCs w:val="24"/>
          <w:highlight w:val="none"/>
          <w:lang w:eastAsia="zh-CN"/>
        </w:rPr>
        <w:t>厦门市大宗货物政府采购供货验收单</w:t>
      </w:r>
      <w:r>
        <w:rPr>
          <w:rFonts w:hint="eastAsia" w:ascii="宋体" w:hAnsi="宋体" w:cs="宋体"/>
          <w:color w:val="auto"/>
          <w:sz w:val="24"/>
          <w:szCs w:val="24"/>
          <w:highlight w:val="none"/>
        </w:rPr>
        <w:t>》中货物相关信息，签署验收意见和加盖公章，并分别提供一份给中标供应商和卖方。</w:t>
      </w:r>
    </w:p>
    <w:p w14:paraId="2A99E95E">
      <w:pPr>
        <w:tabs>
          <w:tab w:val="left" w:pos="513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4、付款方式</w:t>
      </w:r>
    </w:p>
    <w:p w14:paraId="3246F57C">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4.1合同签订后</w:t>
      </w:r>
      <w:r>
        <w:rPr>
          <w:rFonts w:hint="eastAsia" w:ascii="宋体" w:hAnsi="宋体" w:cs="宋体"/>
          <w:color w:val="auto"/>
          <w:sz w:val="24"/>
          <w:szCs w:val="24"/>
          <w:highlight w:val="none"/>
          <w:lang w:eastAsia="zh-CN"/>
        </w:rPr>
        <w:t>15个</w:t>
      </w:r>
      <w:r>
        <w:rPr>
          <w:rFonts w:hint="eastAsia" w:ascii="宋体" w:hAnsi="宋体" w:cs="宋体"/>
          <w:color w:val="auto"/>
          <w:sz w:val="24"/>
          <w:szCs w:val="24"/>
          <w:highlight w:val="none"/>
        </w:rPr>
        <w:t>工作日内，买方向卖方支付合同总价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50</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%的预付款。</w:t>
      </w:r>
    </w:p>
    <w:p w14:paraId="54A5FDEF">
      <w:pPr>
        <w:keepNext w:val="0"/>
        <w:keepLines w:val="0"/>
        <w:widowControl w:val="0"/>
        <w:suppressLineNumbers w:val="0"/>
        <w:tabs>
          <w:tab w:val="left" w:pos="5130"/>
        </w:tabs>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4.2卖方供货安装、调试完毕，买方验收合格</w:t>
      </w:r>
      <w:r>
        <w:rPr>
          <w:rFonts w:hint="eastAsia" w:ascii="宋体" w:hAnsi="宋体" w:eastAsia="宋体" w:cs="宋体"/>
          <w:color w:val="auto"/>
          <w:kern w:val="2"/>
          <w:sz w:val="24"/>
          <w:szCs w:val="24"/>
          <w:highlight w:val="none"/>
          <w:lang w:val="en-US" w:eastAsia="zh-CN" w:bidi="ar"/>
        </w:rPr>
        <w:t>或满足第3.2、3.3条约定</w:t>
      </w:r>
      <w:r>
        <w:rPr>
          <w:rFonts w:hint="eastAsia" w:ascii="宋体" w:hAnsi="宋体" w:cs="宋体"/>
          <w:color w:val="auto"/>
          <w:sz w:val="24"/>
          <w:szCs w:val="24"/>
          <w:highlight w:val="none"/>
        </w:rPr>
        <w:t>后，卖方开具合同总价100%的正规发票和全部货物清单给买方，买方在</w:t>
      </w:r>
      <w:r>
        <w:rPr>
          <w:rFonts w:hint="eastAsia" w:ascii="宋体" w:hAnsi="宋体" w:cs="宋体"/>
          <w:color w:val="auto"/>
          <w:sz w:val="24"/>
          <w:szCs w:val="24"/>
          <w:highlight w:val="none"/>
          <w:lang w:eastAsia="zh-CN"/>
        </w:rPr>
        <w:t>15个</w:t>
      </w:r>
      <w:r>
        <w:rPr>
          <w:rFonts w:hint="eastAsia" w:ascii="宋体" w:hAnsi="宋体" w:cs="宋体"/>
          <w:color w:val="auto"/>
          <w:sz w:val="24"/>
          <w:szCs w:val="24"/>
          <w:highlight w:val="none"/>
        </w:rPr>
        <w:t>工作日内向卖方支付本合同总价100%的款项。</w:t>
      </w:r>
    </w:p>
    <w:p w14:paraId="0451D494">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4.3付款时需具备以下材料：</w:t>
      </w:r>
    </w:p>
    <w:p w14:paraId="0C714750">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（1）买方、使用单位签署的《</w:t>
      </w:r>
      <w:r>
        <w:rPr>
          <w:rFonts w:hint="eastAsia" w:ascii="宋体" w:hAnsi="宋体" w:cs="宋体"/>
          <w:color w:val="auto"/>
          <w:sz w:val="24"/>
          <w:szCs w:val="24"/>
          <w:highlight w:val="none"/>
          <w:u w:val="single"/>
          <w:lang w:eastAsia="zh-CN"/>
        </w:rPr>
        <w:t>厦门市大宗货物政府采购供货验收单</w:t>
      </w:r>
      <w:r>
        <w:rPr>
          <w:rFonts w:hint="eastAsia" w:ascii="宋体" w:hAnsi="宋体" w:cs="宋体"/>
          <w:color w:val="auto"/>
          <w:sz w:val="24"/>
          <w:szCs w:val="24"/>
          <w:highlight w:val="none"/>
          <w:u w:val="single"/>
        </w:rPr>
        <w:t>》；</w:t>
      </w:r>
    </w:p>
    <w:p w14:paraId="3E6EDEC2">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（2）货物发票（需附清单）；</w:t>
      </w:r>
    </w:p>
    <w:p w14:paraId="4A76BED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4.4</w:t>
      </w:r>
      <w:r>
        <w:rPr>
          <w:rFonts w:hint="eastAsia" w:ascii="宋体" w:hAnsi="宋体" w:cs="宋体"/>
          <w:color w:val="auto"/>
          <w:sz w:val="24"/>
          <w:szCs w:val="24"/>
          <w:highlight w:val="none"/>
        </w:rPr>
        <w:t>卖方指定收款账户如下：</w:t>
      </w:r>
    </w:p>
    <w:p w14:paraId="2ACEFE87">
      <w:pPr>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14:paraId="4CBD3E50">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中国建设银行股份有限公司厦门自贸试验区航空港支行</w:t>
      </w:r>
    </w:p>
    <w:p w14:paraId="0C69E68A">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u w:val="single"/>
        </w:rPr>
        <w:t>35101570201052503924</w:t>
      </w:r>
    </w:p>
    <w:p w14:paraId="5B3BE6F9">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5、售后服务</w:t>
      </w:r>
    </w:p>
    <w:p w14:paraId="09592D8D">
      <w:pPr>
        <w:tabs>
          <w:tab w:val="left" w:pos="0"/>
        </w:tabs>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货物验收后的质保、保修等售后服务由</w:t>
      </w:r>
      <w:r>
        <w:rPr>
          <w:rFonts w:hint="eastAsia" w:ascii="宋体" w:hAnsi="宋体" w:cs="宋体"/>
          <w:bCs/>
          <w:color w:val="auto"/>
          <w:sz w:val="24"/>
          <w:szCs w:val="24"/>
          <w:highlight w:val="none"/>
          <w:u w:val="single"/>
        </w:rPr>
        <w:t>中标</w:t>
      </w:r>
      <w:r>
        <w:rPr>
          <w:rFonts w:hint="eastAsia" w:ascii="宋体" w:hAnsi="宋体" w:cs="宋体"/>
          <w:bCs/>
          <w:color w:val="auto"/>
          <w:sz w:val="24"/>
          <w:szCs w:val="24"/>
          <w:highlight w:val="none"/>
          <w:u w:val="single"/>
          <w:lang w:val="en-US" w:eastAsia="zh-CN"/>
        </w:rPr>
        <w:t>/成交</w:t>
      </w:r>
      <w:r>
        <w:rPr>
          <w:rFonts w:hint="eastAsia" w:ascii="宋体" w:hAnsi="宋体" w:cs="宋体"/>
          <w:bCs/>
          <w:color w:val="auto"/>
          <w:sz w:val="24"/>
          <w:szCs w:val="24"/>
          <w:highlight w:val="none"/>
          <w:u w:val="single"/>
        </w:rPr>
        <w:t>供应商</w:t>
      </w:r>
      <w:r>
        <w:rPr>
          <w:rFonts w:hint="eastAsia" w:ascii="宋体" w:hAnsi="宋体" w:cs="宋体"/>
          <w:bCs/>
          <w:color w:val="auto"/>
          <w:kern w:val="0"/>
          <w:sz w:val="24"/>
          <w:szCs w:val="24"/>
          <w:highlight w:val="none"/>
          <w:u w:val="single"/>
        </w:rPr>
        <w:t>提供，买方应就货物保修等售后服务与</w:t>
      </w:r>
      <w:r>
        <w:rPr>
          <w:rFonts w:hint="eastAsia" w:ascii="宋体" w:hAnsi="宋体" w:cs="宋体"/>
          <w:bCs/>
          <w:color w:val="auto"/>
          <w:kern w:val="0"/>
          <w:sz w:val="24"/>
          <w:szCs w:val="24"/>
          <w:highlight w:val="none"/>
          <w:u w:val="single"/>
          <w:lang w:eastAsia="zh-CN"/>
        </w:rPr>
        <w:t>供应商</w:t>
      </w:r>
      <w:r>
        <w:rPr>
          <w:rFonts w:hint="eastAsia" w:ascii="宋体" w:hAnsi="宋体" w:cs="宋体"/>
          <w:bCs/>
          <w:color w:val="auto"/>
          <w:kern w:val="0"/>
          <w:sz w:val="24"/>
          <w:szCs w:val="24"/>
          <w:highlight w:val="none"/>
          <w:u w:val="single"/>
        </w:rPr>
        <w:t>另行签订相应服务合同，卖方不向买方承担保修等售后服务</w:t>
      </w:r>
      <w:r>
        <w:rPr>
          <w:rFonts w:hint="default" w:ascii="宋体" w:hAnsi="宋体" w:cs="宋体"/>
          <w:bCs/>
          <w:color w:val="auto"/>
          <w:kern w:val="0"/>
          <w:sz w:val="24"/>
          <w:szCs w:val="24"/>
          <w:highlight w:val="none"/>
          <w:u w:val="single"/>
        </w:rPr>
        <w:t>义务</w:t>
      </w:r>
      <w:r>
        <w:rPr>
          <w:rFonts w:hint="eastAsia" w:ascii="宋体" w:hAnsi="宋体" w:cs="宋体"/>
          <w:bCs/>
          <w:color w:val="auto"/>
          <w:sz w:val="24"/>
          <w:szCs w:val="24"/>
          <w:highlight w:val="none"/>
        </w:rPr>
        <w:t>。</w:t>
      </w:r>
    </w:p>
    <w:p w14:paraId="7502496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6、违约责任</w:t>
      </w:r>
    </w:p>
    <w:p w14:paraId="10517C0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6.1除不可抗力外，买方不能在本合同规定的时间内支付相应的货款时,应向卖方支付违约金,其支付办法是,每延迟一日,违约金为逾期应付款的万分之四,依此累加。</w:t>
      </w:r>
    </w:p>
    <w:p w14:paraId="78393E7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除不可抗力外，卖方不能按时交货或完成安装时,应提前五天以书面的形式通知买方,并征得买方同意,否则应向买方支付违约金,其支付办法是,每延迟一日,违约金为逾期交货或安装部分价款的万分之四，依此累加。</w:t>
      </w:r>
    </w:p>
    <w:p w14:paraId="54BF3E28">
      <w:pPr>
        <w:spacing w:line="360" w:lineRule="auto"/>
        <w:ind w:firstLine="523" w:firstLineChars="218"/>
        <w:rPr>
          <w:rFonts w:ascii="宋体" w:hAnsi="宋体" w:cs="宋体"/>
          <w:color w:val="auto"/>
          <w:sz w:val="24"/>
          <w:szCs w:val="24"/>
          <w:highlight w:val="none"/>
        </w:rPr>
      </w:pPr>
      <w:r>
        <w:rPr>
          <w:rFonts w:hint="eastAsia" w:ascii="宋体" w:hAnsi="宋体" w:cs="宋体"/>
          <w:color w:val="auto"/>
          <w:sz w:val="24"/>
          <w:szCs w:val="24"/>
          <w:highlight w:val="none"/>
        </w:rPr>
        <w:t>6.3一方违反合同造成另一方损失的，违约方应向守约方承担相应的赔偿责任。本合同约定的违约金不足以弥补守约方损失的，违约方应继续承担赔偿责任。</w:t>
      </w:r>
    </w:p>
    <w:p w14:paraId="0509248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7、不可抗力</w:t>
      </w:r>
    </w:p>
    <w:p w14:paraId="1FD6E1B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18787689">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7.2本合同中的不可抗力指不能预见、不能避免并不能克服的客观情况。包括但不限于：自然灾害如地震、台风、洪水、火灾；政府行为、法律规定或其适用的变化或者其他任何无法预见、避免或者控制的事件。</w:t>
      </w:r>
    </w:p>
    <w:p w14:paraId="5C7661B8">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14:paraId="4B16C3C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14:paraId="445E8EA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合同履行地（交货地）人民法院提起诉讼</w:t>
      </w:r>
      <w:r>
        <w:rPr>
          <w:rFonts w:hint="eastAsia" w:ascii="宋体" w:hAnsi="宋体" w:cs="宋体"/>
          <w:color w:val="auto"/>
          <w:sz w:val="24"/>
          <w:szCs w:val="24"/>
          <w:highlight w:val="none"/>
        </w:rPr>
        <w:t>。</w:t>
      </w:r>
    </w:p>
    <w:p w14:paraId="544A0BC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9、其他约定</w:t>
      </w:r>
    </w:p>
    <w:p w14:paraId="6877D49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9.1买卖双方同意，卖方供货经买方验收完成后，卖方即履行完毕所有合同义务。</w:t>
      </w:r>
    </w:p>
    <w:p w14:paraId="5B1EA41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9.2本合同未尽事宜，双方另行补充。</w:t>
      </w:r>
    </w:p>
    <w:p w14:paraId="3070301E">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9.3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0D990413">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4C5EC37B">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33D0066E">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4C9FDBD1">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11FA054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份，送厦门市财政局政府采购监管处备案壹份，具有同等法律效力。</w:t>
      </w:r>
    </w:p>
    <w:p w14:paraId="3F397C77">
      <w:pPr>
        <w:spacing w:line="360" w:lineRule="auto"/>
        <w:jc w:val="center"/>
        <w:rPr>
          <w:rFonts w:hint="eastAsia" w:ascii="宋体" w:hAnsi="宋体" w:eastAsia="宋体"/>
          <w:color w:val="auto"/>
          <w:sz w:val="24"/>
          <w:szCs w:val="24"/>
          <w:highlight w:val="none"/>
          <w:lang w:val="en-US" w:eastAsia="zh-CN"/>
        </w:rPr>
      </w:pPr>
    </w:p>
    <w:p w14:paraId="2ABB4F2F">
      <w:pPr>
        <w:spacing w:line="360" w:lineRule="auto"/>
        <w:jc w:val="center"/>
        <w:rPr>
          <w:rFonts w:hint="eastAsia" w:ascii="宋体" w:hAnsi="宋体" w:eastAsia="宋体"/>
          <w:color w:val="auto"/>
          <w:sz w:val="24"/>
          <w:szCs w:val="24"/>
          <w:highlight w:val="none"/>
          <w:lang w:val="en-US" w:eastAsia="zh-CN"/>
        </w:rPr>
      </w:pPr>
    </w:p>
    <w:p w14:paraId="0CA996D5">
      <w:pPr>
        <w:spacing w:line="360" w:lineRule="auto"/>
        <w:jc w:val="center"/>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（以下无正文</w:t>
      </w:r>
      <w:r>
        <w:rPr>
          <w:rFonts w:hint="eastAsia" w:ascii="宋体" w:hAnsi="宋体" w:eastAsia="宋体"/>
          <w:color w:val="auto"/>
          <w:sz w:val="24"/>
          <w:szCs w:val="24"/>
          <w:highlight w:val="none"/>
          <w:lang w:eastAsia="zh-CN"/>
        </w:rPr>
        <w:t>）</w:t>
      </w:r>
    </w:p>
    <w:tbl>
      <w:tblPr>
        <w:tblStyle w:val="11"/>
        <w:tblW w:w="93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2"/>
        <w:gridCol w:w="3121"/>
        <w:gridCol w:w="1486"/>
        <w:gridCol w:w="3299"/>
      </w:tblGrid>
      <w:tr w14:paraId="0DB264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1442" w:type="dxa"/>
            <w:vAlign w:val="center"/>
          </w:tcPr>
          <w:p w14:paraId="49AA148C">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买   方</w:t>
            </w:r>
          </w:p>
        </w:tc>
        <w:tc>
          <w:tcPr>
            <w:tcW w:w="3121" w:type="dxa"/>
            <w:vAlign w:val="center"/>
          </w:tcPr>
          <w:p w14:paraId="3DCA3529">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7E69A93">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卖   方</w:t>
            </w:r>
          </w:p>
        </w:tc>
        <w:tc>
          <w:tcPr>
            <w:tcW w:w="3299" w:type="dxa"/>
            <w:vAlign w:val="center"/>
          </w:tcPr>
          <w:p w14:paraId="4E1115D2">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厦门万翔网络商务有限公司</w:t>
            </w:r>
          </w:p>
        </w:tc>
      </w:tr>
      <w:tr w14:paraId="52E0B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42" w:type="dxa"/>
            <w:vAlign w:val="center"/>
          </w:tcPr>
          <w:p w14:paraId="586F3BEB">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121" w:type="dxa"/>
            <w:vAlign w:val="center"/>
          </w:tcPr>
          <w:p w14:paraId="3E9550A8">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32680235">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299" w:type="dxa"/>
            <w:vAlign w:val="center"/>
          </w:tcPr>
          <w:p w14:paraId="0A2F5BC5">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 xml:space="preserve">厦门市湖里区机场北路476号 </w:t>
            </w:r>
          </w:p>
        </w:tc>
      </w:tr>
      <w:tr w14:paraId="33E6E8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1442" w:type="dxa"/>
            <w:vAlign w:val="center"/>
          </w:tcPr>
          <w:p w14:paraId="481B9425">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121" w:type="dxa"/>
            <w:vAlign w:val="center"/>
          </w:tcPr>
          <w:p w14:paraId="6D965988">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2C0E6AB6">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299" w:type="dxa"/>
            <w:vAlign w:val="center"/>
          </w:tcPr>
          <w:p w14:paraId="1CD5A790">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01C093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1442" w:type="dxa"/>
            <w:vAlign w:val="center"/>
          </w:tcPr>
          <w:p w14:paraId="72223E0C">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121" w:type="dxa"/>
            <w:vAlign w:val="center"/>
          </w:tcPr>
          <w:p w14:paraId="246CEE1B">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2B37B386">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299" w:type="dxa"/>
            <w:vAlign w:val="center"/>
          </w:tcPr>
          <w:p w14:paraId="429B8B63">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042FD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442" w:type="dxa"/>
            <w:vAlign w:val="center"/>
          </w:tcPr>
          <w:p w14:paraId="58EE452B">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121" w:type="dxa"/>
            <w:vAlign w:val="center"/>
          </w:tcPr>
          <w:p w14:paraId="6C9A6A74">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F54938A">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299" w:type="dxa"/>
            <w:vAlign w:val="center"/>
          </w:tcPr>
          <w:p w14:paraId="541AECAF">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1A2A9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442" w:type="dxa"/>
            <w:vAlign w:val="center"/>
          </w:tcPr>
          <w:p w14:paraId="03D5C252">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121" w:type="dxa"/>
            <w:vAlign w:val="center"/>
          </w:tcPr>
          <w:p w14:paraId="791E5150">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0C43D4D6">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299" w:type="dxa"/>
            <w:vAlign w:val="center"/>
          </w:tcPr>
          <w:p w14:paraId="151D0702">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0D2B77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442" w:type="dxa"/>
            <w:vAlign w:val="center"/>
          </w:tcPr>
          <w:p w14:paraId="04079C4C">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121" w:type="dxa"/>
            <w:vAlign w:val="center"/>
          </w:tcPr>
          <w:p w14:paraId="06532D5F">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11FF72E">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299" w:type="dxa"/>
            <w:vAlign w:val="center"/>
          </w:tcPr>
          <w:p w14:paraId="1C08A19A">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cs="宋体"/>
                <w:color w:val="auto"/>
                <w:sz w:val="24"/>
                <w:szCs w:val="24"/>
                <w:highlight w:val="none"/>
              </w:rPr>
              <w:t xml:space="preserve">35101570201052503924  </w:t>
            </w:r>
          </w:p>
        </w:tc>
      </w:tr>
      <w:tr w14:paraId="08131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42" w:type="dxa"/>
            <w:vAlign w:val="center"/>
          </w:tcPr>
          <w:p w14:paraId="7CC6C5C0">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121" w:type="dxa"/>
            <w:vAlign w:val="center"/>
          </w:tcPr>
          <w:p w14:paraId="097D5506">
            <w:pPr>
              <w:pStyle w:val="7"/>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c>
          <w:tcPr>
            <w:tcW w:w="1486" w:type="dxa"/>
            <w:vAlign w:val="center"/>
          </w:tcPr>
          <w:p w14:paraId="1840FA86">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299" w:type="dxa"/>
            <w:vAlign w:val="center"/>
          </w:tcPr>
          <w:p w14:paraId="5CED64BF">
            <w:pPr>
              <w:pStyle w:val="7"/>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r>
    </w:tbl>
    <w:p w14:paraId="30B346E2">
      <w:pPr>
        <w:pStyle w:val="19"/>
        <w:widowControl/>
        <w:ind w:left="-850" w:leftChars="-405" w:firstLine="0"/>
        <w:rPr>
          <w:rFonts w:hint="default" w:ascii="华文楷体" w:hAnsi="华文楷体" w:eastAsia="华文楷体" w:cs="华文楷体"/>
          <w:b/>
          <w:bCs w:val="0"/>
          <w:color w:val="auto"/>
          <w:kern w:val="2"/>
          <w:sz w:val="28"/>
          <w:szCs w:val="28"/>
          <w:highlight w:val="none"/>
        </w:rPr>
        <w:sectPr>
          <w:footerReference r:id="rId11"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6DF73FD0">
      <w:pPr>
        <w:pStyle w:val="19"/>
        <w:widowControl/>
        <w:ind w:left="-850" w:leftChars="-405" w:firstLine="0"/>
        <w:rPr>
          <w:rFonts w:hint="eastAsia" w:ascii="宋体" w:hAnsi="宋体" w:cs="宋体"/>
          <w:color w:val="auto"/>
          <w:sz w:val="24"/>
          <w:szCs w:val="24"/>
          <w:highlight w:val="none"/>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1</w:t>
      </w:r>
      <w:r>
        <w:rPr>
          <w:rFonts w:hint="default" w:ascii="华文楷体" w:hAnsi="华文楷体" w:eastAsia="华文楷体" w:cs="华文楷体"/>
          <w:b/>
          <w:bCs w:val="0"/>
          <w:color w:val="auto"/>
          <w:kern w:val="2"/>
          <w:sz w:val="28"/>
          <w:szCs w:val="28"/>
          <w:highlight w:val="none"/>
        </w:rPr>
        <w:t>：供货清单</w:t>
      </w:r>
    </w:p>
    <w:p w14:paraId="3831E0DB">
      <w:pPr>
        <w:pStyle w:val="20"/>
        <w:rPr>
          <w:rFonts w:hint="eastAsia" w:ascii="宋体" w:hAnsi="宋体" w:cs="宋体"/>
          <w:color w:val="auto"/>
          <w:sz w:val="24"/>
          <w:szCs w:val="24"/>
          <w:highlight w:val="none"/>
        </w:rPr>
      </w:pPr>
    </w:p>
    <w:tbl>
      <w:tblPr>
        <w:tblStyle w:val="12"/>
        <w:tblW w:w="10899" w:type="dxa"/>
        <w:tblInd w:w="-1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14:paraId="38E1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697" w:type="dxa"/>
            <w:noWrap w:val="0"/>
            <w:vAlign w:val="center"/>
          </w:tcPr>
          <w:p w14:paraId="2074F26D">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noWrap w:val="0"/>
            <w:vAlign w:val="center"/>
          </w:tcPr>
          <w:p w14:paraId="0197ACF8">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noWrap w:val="0"/>
            <w:vAlign w:val="center"/>
          </w:tcPr>
          <w:p w14:paraId="3937BF8F">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noWrap w:val="0"/>
            <w:vAlign w:val="center"/>
          </w:tcPr>
          <w:p w14:paraId="2E2E94E5">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noWrap w:val="0"/>
            <w:vAlign w:val="center"/>
          </w:tcPr>
          <w:p w14:paraId="49A84E7A">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noWrap w:val="0"/>
            <w:vAlign w:val="center"/>
          </w:tcPr>
          <w:p w14:paraId="6AD5B7BE">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noWrap w:val="0"/>
            <w:vAlign w:val="center"/>
          </w:tcPr>
          <w:p w14:paraId="7CDDF910">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noWrap w:val="0"/>
            <w:vAlign w:val="top"/>
          </w:tcPr>
          <w:p w14:paraId="0C79A0E7">
            <w:pPr>
              <w:pStyle w:val="18"/>
              <w:keepNext w:val="0"/>
              <w:keepLines w:val="0"/>
              <w:widowControl w:val="0"/>
              <w:suppressLineNumbers w:val="0"/>
              <w:spacing w:before="0" w:beforeAutospacing="0" w:after="0" w:afterAutospacing="0" w:line="460" w:lineRule="exact"/>
              <w:ind w:left="0" w:right="0"/>
              <w:jc w:val="center"/>
              <w:rPr>
                <w:rFonts w:hint="eastAsia"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10431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3E352F1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DB44FE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8817CF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367EFAB">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4C605FA">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DDB117D">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861D48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46833A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A02A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27F1F8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13320E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B75B75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61685602">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423BD1F">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6CA36EEA">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4C543EC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7D8A9462">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CD4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DCC3FD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504A08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9D893A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30699DCA">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DAC7A95">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C3E2B0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3D4E966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5710024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F5A7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B07A72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92F0E9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AB8390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3719CBDA">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76FF4E8B">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9976C7B">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023937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FD4145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5006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0D2981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2EA561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C87F51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CA1F3AB">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C6A5C46">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3138F2F">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8BB6BF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EE8501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EB3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8F4C22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47D036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BBAB6D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077B50C">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DFEC08E">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9560883">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1B4425D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4DF55E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79CE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050A371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84B1A6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DD0FF4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0F55EBF">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3E0C8CF9">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308F352">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7C97CE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B4BE5BC">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571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4C56839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5C6FFF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2B595B1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0597B331">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3BDC96F7">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11925C94">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552619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88AF6BC">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27FA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CE9386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62E96D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79AE30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C05AA98">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FDBB031">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9890CCE">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D7EEF7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9ADBEEC">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79C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C5452C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06D901E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5188792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7A24ED5">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22AC2CB">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10D6D72">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9991A1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D06EB6C">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F359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BACCAB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D63D99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52F5BC0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919FDC8">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4DC15B2">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F3D1BAC">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A5A01A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27A910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F409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8CFC33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4819871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8F9FC7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3CEBE0CA">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8638A82">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1B4735A7">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85323F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EB02B8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55F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4D17916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89127F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B15046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37FB477">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BB76E2C">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490321A">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66111C6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05C991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C4CF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419CDF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CAB574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09AF6B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E3AAAE8">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8F237EC">
            <w:pPr>
              <w:pStyle w:val="18"/>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E6C4765">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6F576E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E81E43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064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noWrap w:val="0"/>
            <w:vAlign w:val="center"/>
          </w:tcPr>
          <w:p w14:paraId="1C4536B7">
            <w:pPr>
              <w:keepNext w:val="0"/>
              <w:keepLines w:val="0"/>
              <w:suppressLineNumbers w:val="0"/>
              <w:spacing w:before="0" w:beforeAutospacing="0" w:after="0" w:afterAutospacing="0" w:line="460" w:lineRule="exact"/>
              <w:ind w:left="0" w:right="0"/>
              <w:rPr>
                <w:rFonts w:hint="eastAsia" w:ascii="华文楷体" w:hAnsi="华文楷体" w:eastAsia="华文楷体" w:cs="Times New Roman"/>
                <w:b/>
                <w:color w:val="auto"/>
                <w:kern w:val="0"/>
                <w:sz w:val="24"/>
                <w:highlight w:val="none"/>
              </w:rPr>
            </w:pPr>
            <w:r>
              <w:rPr>
                <w:rFonts w:hint="eastAsia" w:ascii="华文楷体" w:hAnsi="华文楷体" w:eastAsia="华文楷体" w:cs="Times New Roman"/>
                <w:b/>
                <w:color w:val="auto"/>
                <w:kern w:val="0"/>
                <w:sz w:val="24"/>
                <w:highlight w:val="none"/>
              </w:rPr>
              <w:t>合计（元）：</w:t>
            </w:r>
          </w:p>
        </w:tc>
        <w:tc>
          <w:tcPr>
            <w:tcW w:w="1276" w:type="dxa"/>
            <w:noWrap w:val="0"/>
            <w:vAlign w:val="center"/>
          </w:tcPr>
          <w:p w14:paraId="4291890E">
            <w:pPr>
              <w:keepNext w:val="0"/>
              <w:keepLines w:val="0"/>
              <w:suppressLineNumbers w:val="0"/>
              <w:spacing w:before="0" w:beforeAutospacing="0" w:after="0" w:afterAutospacing="0"/>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B61F77F">
            <w:pPr>
              <w:keepNext w:val="0"/>
              <w:keepLines w:val="0"/>
              <w:suppressLineNumbers w:val="0"/>
              <w:spacing w:before="0" w:beforeAutospacing="0" w:after="0" w:afterAutospacing="0"/>
              <w:ind w:left="0" w:right="0"/>
              <w:jc w:val="center"/>
              <w:rPr>
                <w:rFonts w:hint="eastAsia" w:ascii="华文楷体" w:hAnsi="华文楷体" w:eastAsia="华文楷体" w:cs="Times New Roman"/>
                <w:b/>
                <w:color w:val="auto"/>
                <w:kern w:val="0"/>
                <w:sz w:val="24"/>
                <w:highlight w:val="none"/>
              </w:rPr>
            </w:pPr>
          </w:p>
        </w:tc>
      </w:tr>
    </w:tbl>
    <w:p w14:paraId="28577BB8">
      <w:pPr>
        <w:pStyle w:val="19"/>
        <w:widowControl/>
        <w:ind w:left="-850" w:leftChars="-405" w:firstLine="0"/>
        <w:rPr>
          <w:rFonts w:hint="default" w:ascii="华文楷体" w:hAnsi="华文楷体" w:eastAsia="华文楷体" w:cs="华文楷体"/>
          <w:b/>
          <w:bCs w:val="0"/>
          <w:color w:val="auto"/>
          <w:kern w:val="2"/>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42ACEFC3">
      <w:pPr>
        <w:pStyle w:val="19"/>
        <w:widowControl/>
        <w:ind w:left="-850" w:leftChars="-405" w:firstLine="0"/>
        <w:rPr>
          <w:rFonts w:hint="eastAsia" w:ascii="华文楷体" w:hAnsi="华文楷体" w:eastAsia="华文楷体" w:cs="华文楷体"/>
          <w:b/>
          <w:bCs w:val="0"/>
          <w:color w:val="auto"/>
          <w:kern w:val="2"/>
          <w:sz w:val="28"/>
          <w:szCs w:val="28"/>
          <w:highlight w:val="none"/>
          <w:lang w:val="en-US" w:eastAsia="zh-CN"/>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2</w:t>
      </w:r>
      <w:r>
        <w:rPr>
          <w:rFonts w:hint="default" w:ascii="华文楷体" w:hAnsi="华文楷体" w:eastAsia="华文楷体" w:cs="华文楷体"/>
          <w:b/>
          <w:bCs w:val="0"/>
          <w:color w:val="auto"/>
          <w:kern w:val="2"/>
          <w:sz w:val="28"/>
          <w:szCs w:val="28"/>
          <w:highlight w:val="none"/>
        </w:rPr>
        <w:t>：</w:t>
      </w:r>
      <w:r>
        <w:rPr>
          <w:rFonts w:hint="eastAsia" w:ascii="华文楷体" w:hAnsi="华文楷体" w:eastAsia="华文楷体" w:cs="华文楷体"/>
          <w:b/>
          <w:bCs w:val="0"/>
          <w:color w:val="auto"/>
          <w:kern w:val="2"/>
          <w:sz w:val="28"/>
          <w:szCs w:val="28"/>
          <w:highlight w:val="none"/>
          <w:lang w:val="en-US" w:eastAsia="zh-CN"/>
        </w:rPr>
        <w:t>厦门市大宗货物政府采购供货验收单</w:t>
      </w:r>
    </w:p>
    <w:p w14:paraId="13CFF203">
      <w:pPr>
        <w:rPr>
          <w:rFonts w:hint="eastAsia" w:ascii="宋体" w:hAnsi="宋体" w:cs="宋体"/>
          <w:color w:val="auto"/>
          <w:sz w:val="24"/>
          <w:szCs w:val="24"/>
          <w:highlight w:val="none"/>
        </w:rPr>
      </w:pPr>
    </w:p>
    <w:p w14:paraId="1CA8F485">
      <w:pPr>
        <w:pStyle w:val="19"/>
        <w:widowControl/>
        <w:spacing w:line="360" w:lineRule="auto"/>
        <w:ind w:left="-850" w:leftChars="-405"/>
        <w:rPr>
          <w:rFonts w:ascii="宋体" w:hAnsi="宋体" w:cs="宋体"/>
          <w:color w:val="auto"/>
          <w:sz w:val="24"/>
          <w:szCs w:val="24"/>
          <w:highlight w:val="none"/>
        </w:rPr>
      </w:pPr>
      <w:r>
        <w:rPr>
          <w:rFonts w:hint="eastAsia" w:ascii="宋体" w:hAnsi="宋体"/>
          <w:b/>
          <w:bCs/>
          <w:color w:val="auto"/>
          <w:sz w:val="36"/>
          <w:szCs w:val="36"/>
          <w:highlight w:val="none"/>
        </w:rPr>
        <w:drawing>
          <wp:inline distT="0" distB="0" distL="114300" distR="114300">
            <wp:extent cx="5274310" cy="7529195"/>
            <wp:effectExtent l="0" t="0" r="2540" b="14605"/>
            <wp:docPr id="3" name="图片 3"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副本验收报告格式(最终稿）(2)"/>
                    <pic:cNvPicPr>
                      <a:picLocks noChangeAspect="1"/>
                    </pic:cNvPicPr>
                  </pic:nvPicPr>
                  <pic:blipFill>
                    <a:blip r:embed="rId16"/>
                    <a:stretch>
                      <a:fillRect/>
                    </a:stretch>
                  </pic:blipFill>
                  <pic:spPr>
                    <a:xfrm>
                      <a:off x="0" y="0"/>
                      <a:ext cx="5274310" cy="7529195"/>
                    </a:xfrm>
                    <a:prstGeom prst="rect">
                      <a:avLst/>
                    </a:prstGeom>
                    <a:noFill/>
                    <a:ln>
                      <a:noFill/>
                    </a:ln>
                  </pic:spPr>
                </pic:pic>
              </a:graphicData>
            </a:graphic>
          </wp:inline>
        </w:drawing>
      </w:r>
    </w:p>
    <w:p w14:paraId="235223FD">
      <w:pPr>
        <w:spacing w:line="360" w:lineRule="auto"/>
        <w:rPr>
          <w:rFonts w:hint="eastAsia" w:ascii="宋体" w:hAnsi="宋体" w:eastAsia="宋体" w:cs="宋体"/>
          <w:color w:val="auto"/>
          <w:sz w:val="24"/>
          <w:szCs w:val="24"/>
          <w:highlight w:val="none"/>
        </w:rPr>
      </w:pPr>
    </w:p>
    <w:p w14:paraId="2B060C06">
      <w:pPr>
        <w:rPr>
          <w:color w:val="auto"/>
          <w:highlight w:val="none"/>
        </w:rPr>
      </w:pPr>
    </w:p>
    <w:sectPr>
      <w:headerReference r:id="rId12" w:type="default"/>
      <w:footerReference r:id="rId1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Helvetica">
    <w:panose1 w:val="020B0504020202030204"/>
    <w:charset w:val="00"/>
    <w:family w:val="swiss"/>
    <w:pitch w:val="default"/>
    <w:sig w:usb0="00000007" w:usb1="00000000" w:usb2="00000000" w:usb3="00000000" w:csb0="00000093" w:csb1="00000000"/>
  </w:font>
  <w:font w:name="华文楷体">
    <w:altName w:val="宋体"/>
    <w:panose1 w:val="02010600040101010101"/>
    <w:charset w:val="86"/>
    <w:family w:val="auto"/>
    <w:pitch w:val="default"/>
    <w:sig w:usb0="00000000" w:usb1="00000000" w:usb2="00000000" w:usb3="00000000" w:csb0="0004009F" w:csb1="DFD7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EA0AF">
    <w:pPr>
      <w:pStyle w:val="7"/>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FB70A">
    <w:pPr>
      <w:pStyle w:val="7"/>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36A7B">
    <w:pPr>
      <w:pStyle w:val="7"/>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5"/>
        <w:rFonts w:ascii="宋体" w:hAnsi="宋体"/>
      </w:rPr>
      <w:instrText xml:space="preserve"> PAGE </w:instrText>
    </w:r>
    <w:r>
      <w:rPr>
        <w:rFonts w:ascii="宋体" w:hAnsi="宋体"/>
      </w:rPr>
      <w:fldChar w:fldCharType="separate"/>
    </w:r>
    <w:r>
      <w:rPr>
        <w:rStyle w:val="15"/>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95404">
    <w:pPr>
      <w:pStyle w:val="7"/>
      <w:jc w:val="center"/>
      <w:rPr>
        <w:rFonts w:ascii="宋体" w:hAnsi="宋体"/>
      </w:rPr>
    </w:pPr>
    <w:r>
      <w:rPr>
        <w:rStyle w:val="15"/>
        <w:rFonts w:ascii="宋体" w:hAnsi="宋体"/>
        <w:szCs w:val="20"/>
      </w:rPr>
      <w:t>2-1-</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F9C08">
    <w:pPr>
      <w:pStyle w:val="7"/>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4</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464A0">
    <w:pPr>
      <w:pStyle w:val="7"/>
      <w:ind w:firstLine="4140" w:firstLineChars="2300"/>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AEA44">
    <w:pPr>
      <w:pStyle w:val="7"/>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r>
      <w:rPr>
        <w:rFonts w:ascii="宋体" w:hAnsi="宋体"/>
        <w:szCs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94E24">
    <w:pPr>
      <w:pStyle w:val="7"/>
      <w:tabs>
        <w:tab w:val="right" w:pos="8460"/>
        <w:tab w:val="clear" w:pos="8306"/>
      </w:tabs>
      <w:ind w:right="-89" w:firstLine="420"/>
      <w:jc w:val="center"/>
      <w:rPr>
        <w:rFonts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1</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AAD27">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2CC4A">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C611E">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686DA"/>
    <w:multiLevelType w:val="singleLevel"/>
    <w:tmpl w:val="AFB686DA"/>
    <w:lvl w:ilvl="0" w:tentative="0">
      <w:start w:val="7"/>
      <w:numFmt w:val="decimal"/>
      <w:suff w:val="nothing"/>
      <w:lvlText w:val="（%1）"/>
      <w:lvlJc w:val="left"/>
    </w:lvl>
  </w:abstractNum>
  <w:abstractNum w:abstractNumId="1">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3F2CB4"/>
    <w:rsid w:val="19663644"/>
    <w:rsid w:val="1C1B759E"/>
    <w:rsid w:val="259A582D"/>
    <w:rsid w:val="34F07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4">
    <w:name w:val="Body Text Indent"/>
    <w:basedOn w:val="1"/>
    <w:next w:val="1"/>
    <w:qFormat/>
    <w:uiPriority w:val="0"/>
    <w:pPr>
      <w:ind w:left="420" w:leftChars="200"/>
    </w:pPr>
  </w:style>
  <w:style w:type="paragraph" w:styleId="5">
    <w:name w:val="Plain Text"/>
    <w:basedOn w:val="1"/>
    <w:qFormat/>
    <w:uiPriority w:val="0"/>
    <w:rPr>
      <w:rFonts w:ascii="宋体" w:hAnsi="Courier New"/>
      <w:szCs w:val="20"/>
    </w:rPr>
  </w:style>
  <w:style w:type="paragraph" w:styleId="6">
    <w:name w:val="Body Text Indent 2"/>
    <w:basedOn w:val="1"/>
    <w:qFormat/>
    <w:uiPriority w:val="0"/>
    <w:pPr>
      <w:spacing w:after="120" w:line="480" w:lineRule="auto"/>
      <w:ind w:left="420"/>
    </w:pPr>
    <w:rPr>
      <w:rFonts w:ascii="Times New Roman" w:hAnsi="Times New Roman"/>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0">
    <w:name w:val="Body Text First Indent 2"/>
    <w:basedOn w:val="4"/>
    <w:next w:val="1"/>
    <w:qFormat/>
    <w:uiPriority w:val="0"/>
    <w:pPr>
      <w:ind w:firstLine="420" w:firstLineChars="200"/>
    </w:pPr>
  </w:style>
  <w:style w:type="table" w:styleId="12">
    <w:name w:val="Table Grid"/>
    <w:basedOn w:val="11"/>
    <w:qFormat/>
    <w:uiPriority w:val="59"/>
    <w:pPr>
      <w:keepNext w:val="0"/>
      <w:keepLines w:val="0"/>
      <w:widowControl/>
      <w:suppressLineNumbers w:val="0"/>
      <w:spacing w:before="0" w:beforeAutospacing="0" w:after="0" w:afterAutospacing="0"/>
      <w:ind w:left="0" w:right="0"/>
    </w:pPr>
    <w:rPr>
      <w:rFonts w:hint="default"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14">
    <w:name w:val="Strong"/>
    <w:basedOn w:val="13"/>
    <w:qFormat/>
    <w:uiPriority w:val="22"/>
    <w:rPr>
      <w:b/>
      <w:bCs/>
    </w:rPr>
  </w:style>
  <w:style w:type="character" w:styleId="15">
    <w:name w:val="page number"/>
    <w:basedOn w:val="13"/>
    <w:qFormat/>
    <w:uiPriority w:val="0"/>
  </w:style>
  <w:style w:type="paragraph" w:customStyle="1" w:styleId="16">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7">
    <w:name w:val="Table Text"/>
    <w:basedOn w:val="1"/>
    <w:semiHidden/>
    <w:qFormat/>
    <w:uiPriority w:val="0"/>
    <w:rPr>
      <w:rFonts w:ascii="宋体" w:hAnsi="宋体" w:eastAsia="宋体" w:cs="宋体"/>
      <w:sz w:val="28"/>
      <w:szCs w:val="28"/>
      <w:lang w:val="en-US" w:eastAsia="en-US" w:bidi="ar-SA"/>
    </w:rPr>
  </w:style>
  <w:style w:type="paragraph" w:customStyle="1" w:styleId="18">
    <w:name w:val="正文（绿盟科技）"/>
    <w:basedOn w:val="1"/>
    <w:qFormat/>
    <w:uiPriority w:val="0"/>
    <w:pPr>
      <w:widowControl/>
      <w:spacing w:before="0" w:beforeAutospacing="0" w:after="0" w:afterAutospacing="0" w:line="300" w:lineRule="auto"/>
      <w:ind w:left="0" w:right="0"/>
      <w:jc w:val="left"/>
    </w:pPr>
    <w:rPr>
      <w:rFonts w:hint="default" w:ascii="Arial" w:hAnsi="Arial" w:eastAsia="宋体" w:cs="黑体"/>
      <w:kern w:val="0"/>
      <w:sz w:val="21"/>
      <w:szCs w:val="21"/>
      <w:lang w:val="en-US" w:eastAsia="zh-CN" w:bidi="ar"/>
    </w:rPr>
  </w:style>
  <w:style w:type="paragraph" w:customStyle="1" w:styleId="19">
    <w:name w:val="*正文"/>
    <w:basedOn w:val="1"/>
    <w:qFormat/>
    <w:uiPriority w:val="0"/>
    <w:pPr>
      <w:keepNext w:val="0"/>
      <w:keepLines w:val="0"/>
      <w:widowControl w:val="0"/>
      <w:suppressLineNumbers w:val="0"/>
      <w:spacing w:before="0" w:beforeAutospacing="0" w:after="0" w:afterAutospacing="0" w:line="360" w:lineRule="auto"/>
      <w:ind w:left="0" w:right="0" w:firstLine="200" w:firstLineChars="200"/>
      <w:jc w:val="both"/>
    </w:pPr>
    <w:rPr>
      <w:rFonts w:hint="eastAsia" w:ascii="宋体" w:hAnsi="宋体" w:eastAsia="宋体" w:cs="Times New Roman"/>
      <w:kern w:val="2"/>
      <w:sz w:val="22"/>
      <w:szCs w:val="22"/>
      <w:lang w:val="en-US" w:eastAsia="zh-CN" w:bidi="ar"/>
    </w:rPr>
  </w:style>
  <w:style w:type="paragraph" w:customStyle="1" w:styleId="20">
    <w:name w:val="Heading2"/>
    <w:basedOn w:val="1"/>
    <w:next w:val="1"/>
    <w:qFormat/>
    <w:uiPriority w:val="0"/>
    <w:pPr>
      <w:textAlignment w:val="baseline"/>
    </w:pPr>
    <w:rPr>
      <w:rFonts w:ascii="等线" w:hAnsi="等线" w:eastAsia="等线"/>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67</Pages>
  <Words>16891</Words>
  <Characters>19027</Characters>
  <Lines>0</Lines>
  <Paragraphs>0</Paragraphs>
  <TotalTime>45</TotalTime>
  <ScaleCrop>false</ScaleCrop>
  <LinksUpToDate>false</LinksUpToDate>
  <CharactersWithSpaces>19567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2026-06-01T06:52:00Z</dcterms:created>
  <dc:creator>Dell</dc:creator>
  <cp:lastModifiedBy>陈</cp:lastModifiedBy>
  <dcterms:modified xsi:type="dcterms:W3CDTF">2026-06-01T07:58:28Z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5E17CA334BFC4889B946CA623207AF0C_12</vt:lpwstr>
  </property>
</Properties>
</file>